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C" w:rsidRDefault="00EE5379">
      <w:pPr>
        <w:tabs>
          <w:tab w:val="left" w:pos="9383"/>
        </w:tabs>
        <w:spacing w:before="8" w:line="571" w:lineRule="exact"/>
        <w:ind w:left="120"/>
        <w:rPr>
          <w:b/>
          <w:sz w:val="28"/>
        </w:rPr>
      </w:pPr>
      <w:r>
        <w:rPr>
          <w:b/>
          <w:color w:val="00B050"/>
          <w:spacing w:val="-1"/>
          <w:sz w:val="28"/>
        </w:rPr>
        <w:t>Tips</w:t>
      </w:r>
      <w:r>
        <w:rPr>
          <w:b/>
          <w:color w:val="00B050"/>
          <w:spacing w:val="-1"/>
          <w:sz w:val="28"/>
        </w:rPr>
        <w:tab/>
      </w:r>
      <w:r>
        <w:rPr>
          <w:b/>
          <w:noProof/>
          <w:color w:val="00B050"/>
          <w:position w:val="-22"/>
          <w:sz w:val="28"/>
        </w:rPr>
        <w:drawing>
          <wp:inline distT="0" distB="0" distL="0" distR="0">
            <wp:extent cx="597533" cy="3657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3" cy="36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7" w:lineRule="exact"/>
        <w:rPr>
          <w:sz w:val="24"/>
        </w:rPr>
      </w:pPr>
      <w:r>
        <w:rPr>
          <w:sz w:val="24"/>
        </w:rPr>
        <w:t>Remember words like “hopes to, plans to” are not</w:t>
      </w:r>
      <w:r>
        <w:rPr>
          <w:spacing w:val="-3"/>
          <w:sz w:val="24"/>
        </w:rPr>
        <w:t xml:space="preserve"> </w:t>
      </w:r>
      <w:r>
        <w:rPr>
          <w:sz w:val="24"/>
        </w:rPr>
        <w:t>measureable.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Have you considered all four areas?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 xml:space="preserve">Does </w:t>
      </w:r>
      <w:r>
        <w:rPr>
          <w:spacing w:val="-3"/>
          <w:sz w:val="24"/>
        </w:rPr>
        <w:t xml:space="preserve">it </w:t>
      </w:r>
      <w:r>
        <w:rPr>
          <w:sz w:val="24"/>
        </w:rPr>
        <w:t>happen after exiting school</w:t>
      </w:r>
      <w:r>
        <w:rPr>
          <w:spacing w:val="2"/>
          <w:sz w:val="24"/>
        </w:rPr>
        <w:t xml:space="preserve"> </w:t>
      </w:r>
      <w:r>
        <w:rPr>
          <w:sz w:val="24"/>
        </w:rPr>
        <w:t>system?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Is there an education or training</w:t>
      </w:r>
      <w:r>
        <w:rPr>
          <w:spacing w:val="-8"/>
          <w:sz w:val="24"/>
        </w:rPr>
        <w:t xml:space="preserve"> </w:t>
      </w:r>
      <w:r>
        <w:rPr>
          <w:sz w:val="24"/>
        </w:rPr>
        <w:t>goal?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Is there an 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goal?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Are there independent living skills goals, when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appropriate?</w:t>
      </w:r>
    </w:p>
    <w:p w:rsidR="00A23E1C" w:rsidRDefault="00EE537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Are all of the goals</w:t>
      </w:r>
      <w:r>
        <w:rPr>
          <w:spacing w:val="-9"/>
          <w:sz w:val="24"/>
        </w:rPr>
        <w:t xml:space="preserve"> </w:t>
      </w:r>
      <w:r>
        <w:rPr>
          <w:sz w:val="24"/>
        </w:rPr>
        <w:t>measureable?</w:t>
      </w:r>
    </w:p>
    <w:p w:rsidR="00A23E1C" w:rsidRDefault="00A23E1C">
      <w:pPr>
        <w:pStyle w:val="BodyText"/>
        <w:rPr>
          <w:sz w:val="28"/>
        </w:rPr>
      </w:pPr>
    </w:p>
    <w:p w:rsidR="00A23E1C" w:rsidRDefault="00A23E1C">
      <w:pPr>
        <w:pStyle w:val="BodyText"/>
        <w:spacing w:before="10"/>
        <w:rPr>
          <w:sz w:val="38"/>
        </w:rPr>
      </w:pPr>
    </w:p>
    <w:p w:rsidR="00A23E1C" w:rsidRDefault="00EE5379">
      <w:pPr>
        <w:pStyle w:val="Heading1"/>
        <w:tabs>
          <w:tab w:val="left" w:pos="7665"/>
        </w:tabs>
      </w:pPr>
      <w:r>
        <w:rPr>
          <w:noProof/>
          <w:position w:val="-4"/>
        </w:rPr>
        <w:drawing>
          <wp:inline distT="0" distB="0" distL="0" distR="0">
            <wp:extent cx="278129" cy="2738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" cy="2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1EB050"/>
          <w:spacing w:val="18"/>
          <w:u w:val="thick" w:color="1EB050"/>
        </w:rPr>
        <w:t xml:space="preserve"> </w:t>
      </w:r>
      <w:r>
        <w:rPr>
          <w:color w:val="1EB050"/>
          <w:u w:val="thick" w:color="1EB050"/>
        </w:rPr>
        <w:t>Case</w:t>
      </w:r>
      <w:r>
        <w:rPr>
          <w:color w:val="1EB050"/>
          <w:spacing w:val="-3"/>
          <w:u w:val="thick" w:color="1EB050"/>
        </w:rPr>
        <w:t xml:space="preserve"> </w:t>
      </w:r>
      <w:r>
        <w:rPr>
          <w:color w:val="1EB050"/>
          <w:u w:val="thick" w:color="1EB050"/>
        </w:rPr>
        <w:t>Examples</w:t>
      </w:r>
      <w:r>
        <w:rPr>
          <w:color w:val="1EB050"/>
          <w:u w:val="thick" w:color="1EB050"/>
        </w:rPr>
        <w:tab/>
      </w:r>
    </w:p>
    <w:p w:rsidR="00A23E1C" w:rsidRDefault="00EE5379">
      <w:pPr>
        <w:spacing w:before="394"/>
        <w:ind w:left="99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259349</wp:posOffset>
            </wp:positionV>
            <wp:extent cx="438149" cy="6400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4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ALEX</w:t>
      </w:r>
    </w:p>
    <w:p w:rsidR="00A23E1C" w:rsidRDefault="00EE5379">
      <w:pPr>
        <w:spacing w:before="119"/>
        <w:ind w:left="1031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A23E1C" w:rsidRDefault="00A23E1C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4364"/>
      </w:tblGrid>
      <w:tr w:rsidR="00A23E1C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A23E1C" w:rsidRDefault="00EE5379">
            <w:pPr>
              <w:pStyle w:val="TableParagraph"/>
              <w:tabs>
                <w:tab w:val="left" w:pos="4360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A23E1C">
        <w:trPr>
          <w:trHeight w:val="48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830"/>
              </w:tabs>
              <w:spacing w:line="240" w:lineRule="exact"/>
              <w:ind w:right="171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3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A23E1C">
        <w:trPr>
          <w:trHeight w:val="239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 w:rsidR="00A23E1C">
        <w:trPr>
          <w:trHeight w:val="724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After graduation from high school, Alex will enroll at ITT Technical Institute (a technical</w:t>
            </w:r>
          </w:p>
          <w:p w:rsidR="00A23E1C" w:rsidRDefault="00EE5379">
            <w:pPr>
              <w:pStyle w:val="TableParagraph"/>
              <w:spacing w:before="2" w:line="240" w:lineRule="atLeast"/>
              <w:ind w:right="481"/>
              <w:rPr>
                <w:sz w:val="20"/>
              </w:rPr>
            </w:pPr>
            <w:r>
              <w:rPr>
                <w:w w:val="105"/>
                <w:sz w:val="20"/>
              </w:rPr>
              <w:t>school) and take a business math class to improve his work-related math skills and to advance his career in business.</w:t>
            </w:r>
          </w:p>
        </w:tc>
      </w:tr>
      <w:tr w:rsidR="00A23E1C">
        <w:trPr>
          <w:trHeight w:val="239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Training</w:t>
            </w:r>
          </w:p>
        </w:tc>
      </w:tr>
      <w:tr w:rsidR="00A23E1C">
        <w:trPr>
          <w:trHeight w:val="481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After finishing high school, Alex w</w:t>
            </w:r>
            <w:r>
              <w:rPr>
                <w:w w:val="105"/>
                <w:sz w:val="20"/>
              </w:rPr>
              <w:t>ill engage in further on the job training in order to</w:t>
            </w:r>
          </w:p>
          <w:p w:rsidR="00A23E1C" w:rsidRDefault="00EE5379">
            <w:pPr>
              <w:pStyle w:val="TableParagraph"/>
              <w:spacing w:before="7" w:line="221" w:lineRule="exact"/>
              <w:rPr>
                <w:sz w:val="20"/>
              </w:rPr>
            </w:pPr>
            <w:r>
              <w:rPr>
                <w:w w:val="105"/>
                <w:sz w:val="20"/>
              </w:rPr>
              <w:t>increase his hours at Office Depot.</w:t>
            </w:r>
          </w:p>
        </w:tc>
      </w:tr>
      <w:tr w:rsidR="00A23E1C">
        <w:trPr>
          <w:trHeight w:val="24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 w:rsidR="00A23E1C">
        <w:trPr>
          <w:trHeight w:val="722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ind w:right="233"/>
              <w:rPr>
                <w:sz w:val="20"/>
              </w:rPr>
            </w:pPr>
            <w:r>
              <w:rPr>
                <w:w w:val="105"/>
                <w:sz w:val="20"/>
              </w:rPr>
              <w:t>After finishing high school, Alex will increase his work hours from 10 hours per week to 20 hours per week in the business department of a local office supply store with</w:t>
            </w:r>
          </w:p>
          <w:p w:rsidR="00A23E1C" w:rsidRDefault="00EE537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5"/>
                <w:sz w:val="20"/>
              </w:rPr>
              <w:t>temporary supports provided through Vocational Rehabilitation.</w:t>
            </w:r>
          </w:p>
        </w:tc>
      </w:tr>
      <w:tr w:rsidR="00A23E1C">
        <w:trPr>
          <w:trHeight w:val="241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 w:rsidR="00A23E1C">
        <w:trPr>
          <w:trHeight w:val="722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w w:val="105"/>
                <w:sz w:val="20"/>
              </w:rPr>
              <w:t>Upon completion of high school, with the assistance of the Springfield OVRS Office, Alex will develop better communication and social skills so that he can find appropriate living</w:t>
            </w:r>
          </w:p>
          <w:p w:rsidR="00A23E1C" w:rsidRDefault="00EE537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5"/>
                <w:sz w:val="20"/>
              </w:rPr>
              <w:t>quarters with roommates.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0" w:right="21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A23E1C">
        <w:trPr>
          <w:trHeight w:val="237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ind w:left="0" w:right="15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22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300.321(b)(3)</w:t>
            </w:r>
          </w:p>
        </w:tc>
      </w:tr>
      <w:tr w:rsidR="00A23E1C">
        <w:trPr>
          <w:trHeight w:val="234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A23E1C">
        <w:trPr>
          <w:trHeight w:val="237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0" w:right="10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 w:rsidR="00A23E1C" w:rsidRDefault="00EE5379">
      <w:pPr>
        <w:spacing w:before="121"/>
        <w:ind w:left="120"/>
        <w:rPr>
          <w:sz w:val="20"/>
        </w:rPr>
      </w:pPr>
      <w:r>
        <w:rPr>
          <w:w w:val="105"/>
          <w:sz w:val="20"/>
        </w:rPr>
        <w:t xml:space="preserve">For an expanded version of Alex’s Case Study please go to </w:t>
      </w:r>
      <w:hyperlink r:id="rId10">
        <w:r>
          <w:rPr>
            <w:color w:val="0563C1"/>
            <w:w w:val="105"/>
            <w:sz w:val="20"/>
            <w:u w:val="single" w:color="0563C1"/>
          </w:rPr>
          <w:t>https://is.gd/sxxfFt</w:t>
        </w:r>
      </w:hyperlink>
      <w:r>
        <w:rPr>
          <w:w w:val="105"/>
          <w:sz w:val="20"/>
        </w:rPr>
        <w:t>.</w:t>
      </w:r>
    </w:p>
    <w:p w:rsidR="00D519F2" w:rsidRDefault="00D519F2" w:rsidP="00D519F2">
      <w:pPr>
        <w:spacing w:before="153"/>
        <w:rPr>
          <w:b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D519F2">
        <w:rPr>
          <w:sz w:val="18"/>
          <w:szCs w:val="18"/>
        </w:rPr>
        <w:t xml:space="preserve">(if </w:t>
      </w:r>
      <w:r>
        <w:rPr>
          <w:sz w:val="18"/>
          <w:szCs w:val="18"/>
        </w:rPr>
        <w:t xml:space="preserve">this </w:t>
      </w:r>
      <w:r w:rsidRPr="00D519F2">
        <w:rPr>
          <w:sz w:val="18"/>
          <w:szCs w:val="18"/>
        </w:rPr>
        <w:t>link does not work, copy and paste into a web browser)</w:t>
      </w:r>
    </w:p>
    <w:p w:rsidR="00A23E1C" w:rsidRDefault="00A23E1C">
      <w:pPr>
        <w:rPr>
          <w:sz w:val="20"/>
        </w:rPr>
        <w:sectPr w:rsidR="00A23E1C">
          <w:footerReference w:type="default" r:id="rId11"/>
          <w:type w:val="continuous"/>
          <w:pgSz w:w="12240" w:h="15840"/>
          <w:pgMar w:top="1360" w:right="400" w:bottom="1640" w:left="1320" w:header="720" w:footer="1458" w:gutter="0"/>
          <w:pgNumType w:start="33"/>
          <w:cols w:space="720"/>
        </w:sectPr>
      </w:pPr>
    </w:p>
    <w:p w:rsidR="00A23E1C" w:rsidRDefault="00EE5379">
      <w:pPr>
        <w:pStyle w:val="BodyText"/>
        <w:ind w:left="94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8197" cy="36004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97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1C" w:rsidRDefault="00EE5379">
      <w:pPr>
        <w:ind w:left="1106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-78521</wp:posOffset>
            </wp:positionV>
            <wp:extent cx="483869" cy="639241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69" cy="639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ROLANDA</w:t>
      </w:r>
    </w:p>
    <w:p w:rsidR="00A23E1C" w:rsidRDefault="00EE5379">
      <w:pPr>
        <w:spacing w:before="122"/>
        <w:ind w:left="1075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A23E1C" w:rsidRDefault="00A23E1C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4364"/>
      </w:tblGrid>
      <w:tr w:rsidR="00A23E1C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A23E1C" w:rsidRDefault="00EE5379">
            <w:pPr>
              <w:pStyle w:val="TableParagraph"/>
              <w:tabs>
                <w:tab w:val="left" w:pos="4293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A23E1C">
        <w:trPr>
          <w:trHeight w:val="48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A23E1C" w:rsidRDefault="00EE5379">
            <w:pPr>
              <w:pStyle w:val="TableParagraph"/>
              <w:tabs>
                <w:tab w:val="left" w:pos="6834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A23E1C">
        <w:trPr>
          <w:trHeight w:val="24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 w:rsidR="00A23E1C">
        <w:trPr>
          <w:trHeight w:val="721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ind w:right="205"/>
              <w:rPr>
                <w:sz w:val="20"/>
              </w:rPr>
            </w:pPr>
            <w:r>
              <w:rPr>
                <w:sz w:val="20"/>
              </w:rPr>
              <w:t>After exiting school services, Rolanda will participate in an in-home or center-based program designed to provide rehabilitative and vocational training with medical and therapeutic</w:t>
            </w:r>
          </w:p>
          <w:p w:rsidR="00A23E1C" w:rsidRDefault="00EE537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supports.</w:t>
            </w:r>
          </w:p>
        </w:tc>
      </w:tr>
      <w:tr w:rsidR="00A23E1C">
        <w:trPr>
          <w:trHeight w:val="242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</w:tr>
      <w:tr w:rsidR="00A23E1C">
        <w:trPr>
          <w:trHeight w:val="722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ind w:right="156"/>
              <w:rPr>
                <w:sz w:val="20"/>
              </w:rPr>
            </w:pPr>
            <w:r>
              <w:rPr>
                <w:sz w:val="20"/>
              </w:rPr>
              <w:t>Immediately after exiting school services, Rolanda will receive job development services from vocational rehabilitation or a community rehabilitation program and will participate in</w:t>
            </w:r>
          </w:p>
          <w:p w:rsidR="00A23E1C" w:rsidRDefault="00EE537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technologically supported self-employment or volunteer skill building.</w:t>
            </w:r>
          </w:p>
        </w:tc>
      </w:tr>
      <w:tr w:rsidR="00A23E1C">
        <w:trPr>
          <w:trHeight w:val="241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 w:rsidR="00A23E1C">
        <w:trPr>
          <w:trHeight w:val="481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0" w:lineRule="exact"/>
              <w:ind w:right="436"/>
              <w:rPr>
                <w:sz w:val="20"/>
              </w:rPr>
            </w:pPr>
            <w:r>
              <w:rPr>
                <w:sz w:val="20"/>
              </w:rPr>
              <w:t>Within one year of exiting school services, Rolanda will be in a supported self-employment work in her local community at the art museum.</w:t>
            </w:r>
          </w:p>
        </w:tc>
      </w:tr>
      <w:tr w:rsidR="00A23E1C">
        <w:trPr>
          <w:trHeight w:val="239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 w:rsidR="00A23E1C">
        <w:trPr>
          <w:trHeight w:val="964"/>
        </w:trPr>
        <w:tc>
          <w:tcPr>
            <w:tcW w:w="9356" w:type="dxa"/>
            <w:gridSpan w:val="2"/>
          </w:tcPr>
          <w:p w:rsidR="00A23E1C" w:rsidRDefault="00EE5379">
            <w:pPr>
              <w:pStyle w:val="TableParagraph"/>
              <w:spacing w:line="244" w:lineRule="auto"/>
              <w:ind w:right="134"/>
              <w:rPr>
                <w:sz w:val="20"/>
              </w:rPr>
            </w:pPr>
            <w:r>
              <w:rPr>
                <w:w w:val="105"/>
                <w:sz w:val="20"/>
              </w:rPr>
              <w:t>After exiting school services, Rolanda will participate in community-integrated recreational/leisure activities related to music, movies, and art by accessing movie theaters, concerts at the local community college, art and craft museums downtown, and</w:t>
            </w:r>
          </w:p>
          <w:p w:rsidR="00A23E1C" w:rsidRDefault="00EE5379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</w:t>
            </w:r>
            <w:r>
              <w:rPr>
                <w:w w:val="105"/>
                <w:sz w:val="20"/>
              </w:rPr>
              <w:t>entertainment store at the mall.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25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A23E1C">
        <w:trPr>
          <w:trHeight w:val="237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line="217" w:lineRule="exact"/>
              <w:ind w:left="0" w:right="15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24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300.321(b)(3)</w:t>
            </w:r>
          </w:p>
        </w:tc>
      </w:tr>
      <w:tr w:rsidR="00A23E1C">
        <w:trPr>
          <w:trHeight w:val="234"/>
        </w:trPr>
        <w:tc>
          <w:tcPr>
            <w:tcW w:w="9356" w:type="dxa"/>
            <w:gridSpan w:val="2"/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A23E1C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 w:rsidR="00A23E1C">
        <w:trPr>
          <w:trHeight w:val="237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A23E1C" w:rsidRDefault="00EE5379">
            <w:pPr>
              <w:pStyle w:val="TableParagraph"/>
              <w:spacing w:before="2"/>
              <w:ind w:left="0" w:right="10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 w:rsidR="00A23E1C" w:rsidRDefault="00EE5379">
      <w:pPr>
        <w:spacing w:before="121"/>
        <w:ind w:left="120"/>
        <w:rPr>
          <w:w w:val="105"/>
          <w:sz w:val="20"/>
        </w:rPr>
      </w:pPr>
      <w:r>
        <w:rPr>
          <w:w w:val="105"/>
          <w:sz w:val="20"/>
        </w:rPr>
        <w:t xml:space="preserve">For an expanded version of Rolanda’s Case Study please go to </w:t>
      </w:r>
      <w:hyperlink r:id="rId13">
        <w:r>
          <w:rPr>
            <w:color w:val="0563C1"/>
            <w:w w:val="105"/>
            <w:sz w:val="20"/>
            <w:u w:val="single" w:color="0563C1"/>
          </w:rPr>
          <w:t>https://is.gd/hTEyoG</w:t>
        </w:r>
      </w:hyperlink>
      <w:r>
        <w:rPr>
          <w:w w:val="105"/>
          <w:sz w:val="20"/>
        </w:rPr>
        <w:t>.</w:t>
      </w:r>
    </w:p>
    <w:p w:rsidR="00D519F2" w:rsidRDefault="00D519F2" w:rsidP="00D519F2">
      <w:pPr>
        <w:spacing w:before="153"/>
        <w:rPr>
          <w:b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D519F2">
        <w:rPr>
          <w:sz w:val="18"/>
          <w:szCs w:val="18"/>
        </w:rPr>
        <w:t xml:space="preserve">(if </w:t>
      </w:r>
      <w:r>
        <w:rPr>
          <w:sz w:val="18"/>
          <w:szCs w:val="18"/>
        </w:rPr>
        <w:t xml:space="preserve">this </w:t>
      </w:r>
      <w:r w:rsidRPr="00D519F2">
        <w:rPr>
          <w:sz w:val="18"/>
          <w:szCs w:val="18"/>
        </w:rPr>
        <w:t>link does not work, copy and paste into a web browser)</w:t>
      </w:r>
    </w:p>
    <w:p w:rsidR="00A23E1C" w:rsidRDefault="00A23E1C">
      <w:pPr>
        <w:rPr>
          <w:sz w:val="20"/>
        </w:rPr>
        <w:sectPr w:rsidR="00A23E1C">
          <w:pgSz w:w="12240" w:h="15840"/>
          <w:pgMar w:top="1320" w:right="400" w:bottom="1640" w:left="1320" w:header="0" w:footer="1458" w:gutter="0"/>
          <w:cols w:space="720"/>
        </w:sectPr>
      </w:pPr>
    </w:p>
    <w:p w:rsidR="00A23E1C" w:rsidRDefault="00A23E1C">
      <w:pPr>
        <w:pStyle w:val="BodyText"/>
        <w:spacing w:before="10"/>
        <w:rPr>
          <w:sz w:val="11"/>
        </w:rPr>
      </w:pPr>
    </w:p>
    <w:p w:rsidR="00A23E1C" w:rsidRDefault="00EE5379">
      <w:pPr>
        <w:spacing w:before="99"/>
        <w:ind w:left="119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-88807</wp:posOffset>
            </wp:positionV>
            <wp:extent cx="467359" cy="639495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6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6850380</wp:posOffset>
            </wp:positionH>
            <wp:positionV relativeFrom="paragraph">
              <wp:posOffset>-50708</wp:posOffset>
            </wp:positionV>
            <wp:extent cx="597533" cy="36575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ALLISON</w:t>
      </w:r>
    </w:p>
    <w:p w:rsidR="00A23E1C" w:rsidRDefault="00EE5379">
      <w:pPr>
        <w:spacing w:before="119"/>
        <w:ind w:left="1043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A23E1C" w:rsidRDefault="00A23E1C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A23E1C">
        <w:trPr>
          <w:trHeight w:val="481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A23E1C" w:rsidRDefault="00EE5379">
            <w:pPr>
              <w:pStyle w:val="TableParagraph"/>
              <w:tabs>
                <w:tab w:val="left" w:pos="4360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A23E1C">
        <w:trPr>
          <w:trHeight w:val="481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834"/>
              </w:tabs>
              <w:spacing w:line="240" w:lineRule="exact"/>
              <w:ind w:right="170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A23E1C">
        <w:trPr>
          <w:trHeight w:val="239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</w:tr>
      <w:tr w:rsidR="00A23E1C">
        <w:trPr>
          <w:trHeight w:val="481"/>
        </w:trPr>
        <w:tc>
          <w:tcPr>
            <w:tcW w:w="9355" w:type="dxa"/>
          </w:tcPr>
          <w:p w:rsidR="00A23E1C" w:rsidRDefault="00EE537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After graduation from high school, Allison will attend Eastern Oregon University and take</w:t>
            </w:r>
          </w:p>
          <w:p w:rsidR="00A23E1C" w:rsidRDefault="00EE5379">
            <w:pPr>
              <w:pStyle w:val="TableParagraph"/>
              <w:spacing w:before="7" w:line="221" w:lineRule="exact"/>
              <w:rPr>
                <w:sz w:val="20"/>
              </w:rPr>
            </w:pPr>
            <w:r>
              <w:rPr>
                <w:sz w:val="20"/>
              </w:rPr>
              <w:t>coursework leading to a major in the area of Child Development.</w:t>
            </w:r>
          </w:p>
        </w:tc>
      </w:tr>
      <w:tr w:rsidR="00A23E1C">
        <w:trPr>
          <w:trHeight w:val="242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</w:tr>
      <w:tr w:rsidR="00A23E1C">
        <w:trPr>
          <w:trHeight w:val="239"/>
        </w:trPr>
        <w:tc>
          <w:tcPr>
            <w:tcW w:w="9355" w:type="dxa"/>
          </w:tcPr>
          <w:p w:rsidR="00A23E1C" w:rsidRDefault="00EE537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1C1C1C"/>
                <w:sz w:val="20"/>
              </w:rPr>
              <w:t>IEP team considered training goal and decided that education goal is appropriate for Allison.</w:t>
            </w:r>
          </w:p>
        </w:tc>
      </w:tr>
      <w:tr w:rsidR="00A23E1C">
        <w:trPr>
          <w:trHeight w:val="242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Employment</w:t>
            </w:r>
          </w:p>
        </w:tc>
      </w:tr>
      <w:tr w:rsidR="00A23E1C">
        <w:trPr>
          <w:trHeight w:val="481"/>
        </w:trPr>
        <w:tc>
          <w:tcPr>
            <w:tcW w:w="9355" w:type="dxa"/>
          </w:tcPr>
          <w:p w:rsidR="00A23E1C" w:rsidRDefault="00EE537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After graduation from college, Allison will become an early childhood education teacher in Pendleton School District.</w:t>
            </w:r>
          </w:p>
        </w:tc>
      </w:tr>
      <w:tr w:rsidR="00A23E1C">
        <w:trPr>
          <w:trHeight w:val="239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Independent living skills (where appropriate)</w:t>
            </w:r>
          </w:p>
        </w:tc>
      </w:tr>
      <w:tr w:rsidR="00A23E1C">
        <w:trPr>
          <w:trHeight w:val="481"/>
        </w:trPr>
        <w:tc>
          <w:tcPr>
            <w:tcW w:w="9355" w:type="dxa"/>
          </w:tcPr>
          <w:p w:rsidR="00A23E1C" w:rsidRDefault="00EE5379">
            <w:pPr>
              <w:pStyle w:val="TableParagraph"/>
              <w:spacing w:before="2" w:line="240" w:lineRule="exact"/>
              <w:ind w:right="480"/>
              <w:rPr>
                <w:sz w:val="20"/>
              </w:rPr>
            </w:pPr>
            <w:r>
              <w:rPr>
                <w:sz w:val="20"/>
              </w:rPr>
              <w:t>Upon entrance to Eastern Oregon University, Allison will access EOU Disability Services for assistance in note-taking and study partners.</w:t>
            </w:r>
          </w:p>
        </w:tc>
      </w:tr>
      <w:tr w:rsidR="00A23E1C">
        <w:trPr>
          <w:trHeight w:val="237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7554"/>
              </w:tabs>
              <w:spacing w:before="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Transition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Services/Activities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 w:rsidR="00A23E1C">
        <w:trPr>
          <w:trHeight w:val="234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995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300.320(b)(2)</w:t>
            </w:r>
          </w:p>
        </w:tc>
      </w:tr>
      <w:tr w:rsidR="00A23E1C">
        <w:trPr>
          <w:trHeight w:val="234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7730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300.321(b)(3)</w:t>
            </w:r>
          </w:p>
        </w:tc>
      </w:tr>
      <w:tr w:rsidR="00A23E1C">
        <w:trPr>
          <w:trHeight w:val="237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A23E1C">
        <w:trPr>
          <w:trHeight w:val="234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849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Area: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300.320(a)(2)(i)</w:t>
            </w:r>
          </w:p>
        </w:tc>
      </w:tr>
      <w:tr w:rsidR="00A23E1C">
        <w:trPr>
          <w:trHeight w:val="234"/>
        </w:trPr>
        <w:tc>
          <w:tcPr>
            <w:tcW w:w="9355" w:type="dxa"/>
            <w:shd w:val="clear" w:color="auto" w:fill="DCDCDC"/>
          </w:tcPr>
          <w:p w:rsidR="00A23E1C" w:rsidRDefault="00EE5379">
            <w:pPr>
              <w:pStyle w:val="TableParagraph"/>
              <w:tabs>
                <w:tab w:val="left" w:pos="6839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Area: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300.320(a)(2)(i)</w:t>
            </w:r>
          </w:p>
        </w:tc>
      </w:tr>
    </w:tbl>
    <w:p w:rsidR="00D519F2" w:rsidRDefault="00EE5379" w:rsidP="00D519F2">
      <w:pPr>
        <w:spacing w:before="153"/>
        <w:rPr>
          <w:sz w:val="20"/>
        </w:rPr>
      </w:pPr>
      <w:r>
        <w:rPr>
          <w:sz w:val="20"/>
        </w:rPr>
        <w:t xml:space="preserve">For an expanded version of Allison’s case study please go to </w:t>
      </w:r>
      <w:hyperlink r:id="rId15">
        <w:r>
          <w:rPr>
            <w:color w:val="0563C1"/>
            <w:sz w:val="20"/>
            <w:u w:val="single" w:color="0563C1"/>
          </w:rPr>
          <w:t>https://is.gd/bBrwv1</w:t>
        </w:r>
      </w:hyperlink>
      <w:r>
        <w:rPr>
          <w:sz w:val="20"/>
        </w:rPr>
        <w:t>.</w:t>
      </w:r>
    </w:p>
    <w:p w:rsidR="00D519F2" w:rsidRDefault="00D519F2" w:rsidP="00D519F2">
      <w:pPr>
        <w:spacing w:before="153"/>
        <w:rPr>
          <w:b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D519F2">
        <w:rPr>
          <w:sz w:val="18"/>
          <w:szCs w:val="18"/>
        </w:rPr>
        <w:t xml:space="preserve"> </w:t>
      </w:r>
      <w:r w:rsidRPr="00D519F2">
        <w:rPr>
          <w:sz w:val="18"/>
          <w:szCs w:val="18"/>
        </w:rPr>
        <w:t xml:space="preserve">(if </w:t>
      </w:r>
      <w:r>
        <w:rPr>
          <w:sz w:val="18"/>
          <w:szCs w:val="18"/>
        </w:rPr>
        <w:t xml:space="preserve">this </w:t>
      </w:r>
      <w:r w:rsidRPr="00D519F2">
        <w:rPr>
          <w:sz w:val="18"/>
          <w:szCs w:val="18"/>
        </w:rPr>
        <w:t>link does not work, copy and paste into a web browser)</w:t>
      </w:r>
    </w:p>
    <w:p w:rsidR="00A23E1C" w:rsidRDefault="00A23E1C">
      <w:pPr>
        <w:spacing w:before="121"/>
        <w:ind w:left="120"/>
        <w:rPr>
          <w:sz w:val="20"/>
        </w:rPr>
      </w:pPr>
    </w:p>
    <w:p w:rsidR="00A23E1C" w:rsidRDefault="00A23E1C">
      <w:pPr>
        <w:pStyle w:val="BodyText"/>
        <w:rPr>
          <w:sz w:val="20"/>
        </w:rPr>
      </w:pPr>
    </w:p>
    <w:p w:rsidR="00A23E1C" w:rsidRDefault="00A23E1C">
      <w:pPr>
        <w:pStyle w:val="BodyText"/>
        <w:spacing w:before="4"/>
      </w:pPr>
    </w:p>
    <w:p w:rsidR="00A23E1C" w:rsidRDefault="00EE5379">
      <w:pPr>
        <w:pStyle w:val="Heading1"/>
        <w:spacing w:before="101"/>
        <w:ind w:left="722"/>
      </w:pPr>
      <w:r>
        <w:pict>
          <v:line id="_x0000_s1026" style="position:absolute;left:0;text-align:left;z-index:-251656192;mso-wrap-distance-left:0;mso-wrap-distance-right:0;mso-position-horizontal-relative:page" from="98.7pt,31.2pt" to="451.8pt,31.2pt" strokecolor="#1eb050" strokeweight="2.25pt">
            <w10:wrap type="topAndBottom" anchorx="page"/>
          </v:line>
        </w:pic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98438</wp:posOffset>
            </wp:positionV>
            <wp:extent cx="257174" cy="273791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7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B050"/>
        </w:rPr>
        <w:t>Links to Resources</w:t>
      </w:r>
    </w:p>
    <w:p w:rsidR="00A23E1C" w:rsidRDefault="00EE5379">
      <w:pPr>
        <w:spacing w:before="153"/>
        <w:ind w:left="120"/>
        <w:rPr>
          <w:b/>
        </w:rPr>
      </w:pPr>
      <w:r>
        <w:rPr>
          <w:b/>
        </w:rPr>
        <w:t>Pre-ETS: Post-Secondary Goals</w:t>
      </w:r>
      <w:r w:rsidR="00D519F2">
        <w:rPr>
          <w:b/>
        </w:rPr>
        <w:t xml:space="preserve"> </w:t>
      </w:r>
      <w:bookmarkStart w:id="0" w:name="_GoBack"/>
      <w:bookmarkEnd w:id="0"/>
    </w:p>
    <w:p w:rsidR="00A23E1C" w:rsidRDefault="00EE5379">
      <w:pPr>
        <w:tabs>
          <w:tab w:val="left" w:pos="2322"/>
        </w:tabs>
        <w:spacing w:before="162" w:line="424" w:lineRule="auto"/>
        <w:ind w:left="120" w:right="4620" w:hanging="1"/>
      </w:pP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College</w:t>
      </w:r>
      <w:r>
        <w:tab/>
      </w:r>
      <w:hyperlink r:id="rId17">
        <w:r>
          <w:rPr>
            <w:color w:val="1155CC"/>
            <w:spacing w:val="-1"/>
            <w:u w:val="single" w:color="1155CC"/>
          </w:rPr>
          <w:t>http://www.going-to</w:t>
        </w:r>
        <w:r>
          <w:rPr>
            <w:color w:val="1155CC"/>
            <w:spacing w:val="-1"/>
            <w:u w:val="single" w:color="1155CC"/>
          </w:rPr>
          <w:t>-</w:t>
        </w:r>
        <w:r>
          <w:rPr>
            <w:color w:val="1155CC"/>
            <w:spacing w:val="-1"/>
            <w:u w:val="single" w:color="1155CC"/>
          </w:rPr>
          <w:t>college.org/</w:t>
        </w:r>
      </w:hyperlink>
      <w:r>
        <w:rPr>
          <w:color w:val="1155CC"/>
          <w:spacing w:val="-1"/>
        </w:rPr>
        <w:t xml:space="preserve"> </w:t>
      </w:r>
      <w:r>
        <w:t>Back to the Youth Hood</w:t>
      </w:r>
      <w:r>
        <w:rPr>
          <w:spacing w:val="47"/>
        </w:rPr>
        <w:t xml:space="preserve"> </w:t>
      </w:r>
      <w:hyperlink r:id="rId18">
        <w:r>
          <w:rPr>
            <w:color w:val="1155CC"/>
            <w:u w:val="single" w:color="1155CC"/>
          </w:rPr>
          <w:t>https://www.youthhood.org/</w:t>
        </w:r>
      </w:hyperlink>
    </w:p>
    <w:sectPr w:rsidR="00A23E1C">
      <w:pgSz w:w="12240" w:h="15840"/>
      <w:pgMar w:top="1200" w:right="400" w:bottom="1640" w:left="132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79" w:rsidRDefault="00EE5379">
      <w:r>
        <w:separator/>
      </w:r>
    </w:p>
  </w:endnote>
  <w:endnote w:type="continuationSeparator" w:id="0">
    <w:p w:rsidR="00EE5379" w:rsidRDefault="00EE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1C" w:rsidRDefault="00EE537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05pt;margin-top:708.1pt;width:17.95pt;height:15.05pt;z-index:-251658752;mso-position-horizontal-relative:page;mso-position-vertical-relative:page" filled="f" stroked="f">
          <v:textbox inset="0,0,0,0">
            <w:txbxContent>
              <w:p w:rsidR="00A23E1C" w:rsidRDefault="00EE5379">
                <w:pPr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19F2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79" w:rsidRDefault="00EE5379">
      <w:r>
        <w:separator/>
      </w:r>
    </w:p>
  </w:footnote>
  <w:footnote w:type="continuationSeparator" w:id="0">
    <w:p w:rsidR="00EE5379" w:rsidRDefault="00EE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6161"/>
    <w:multiLevelType w:val="hybridMultilevel"/>
    <w:tmpl w:val="16E8104E"/>
    <w:lvl w:ilvl="0" w:tplc="F448155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7AAA6EA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FBCA11EC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FCA052F4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EB42F1D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55889548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6AA22EA0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3BF22EEA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13BA2C8A">
      <w:numFmt w:val="bullet"/>
      <w:lvlText w:val="•"/>
      <w:lvlJc w:val="left"/>
      <w:pPr>
        <w:ind w:left="8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3E1C"/>
    <w:rsid w:val="00A23E1C"/>
    <w:rsid w:val="00D519F2"/>
    <w:rsid w:val="00E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CCA697"/>
  <w15:docId w15:val="{8B33FB60-B61C-4BF0-B51B-05BEDCF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s.gd/hTEyoG" TargetMode="External"/><Relationship Id="rId18" Type="http://schemas.openxmlformats.org/officeDocument/2006/relationships/hyperlink" Target="https://www.youthhoo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going-to-college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s.gd/bBrwv1" TargetMode="External"/><Relationship Id="rId10" Type="http://schemas.openxmlformats.org/officeDocument/2006/relationships/hyperlink" Target="https://is.gd/sxxfF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4687</Characters>
  <Application>Microsoft Office Word</Application>
  <DocSecurity>0</DocSecurity>
  <Lines>39</Lines>
  <Paragraphs>10</Paragraphs>
  <ScaleCrop>false</ScaleCrop>
  <Company>Western Oregon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2</cp:revision>
  <dcterms:created xsi:type="dcterms:W3CDTF">2018-10-05T16:13:00Z</dcterms:created>
  <dcterms:modified xsi:type="dcterms:W3CDTF">2019-05-10T16:53:00Z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