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6" w:lineRule="auto" w:before="81"/>
        <w:ind w:left="120" w:right="518" w:firstLine="0"/>
        <w:jc w:val="left"/>
        <w:rPr>
          <w:i/>
          <w:sz w:val="23"/>
        </w:rPr>
      </w:pPr>
      <w:r>
        <w:rPr>
          <w:i/>
          <w:sz w:val="23"/>
        </w:rPr>
        <w:t>The following questions address issues related to the graduation and dropout </w:t>
      </w:r>
      <w:r>
        <w:rPr>
          <w:i/>
          <w:sz w:val="23"/>
        </w:rPr>
        <w:t>rates experienced by youth with disabilities in the district and or school.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80" w:after="0"/>
        <w:ind w:left="480" w:right="0" w:hanging="360"/>
        <w:jc w:val="left"/>
        <w:rPr>
          <w:sz w:val="23"/>
        </w:rPr>
      </w:pPr>
      <w:r>
        <w:rPr>
          <w:sz w:val="23"/>
        </w:rPr>
        <w:t>What percentage of former students graduated with a diploma last</w:t>
      </w:r>
      <w:r>
        <w:rPr>
          <w:spacing w:val="-13"/>
          <w:sz w:val="23"/>
        </w:rPr>
        <w:t> </w:t>
      </w:r>
      <w:r>
        <w:rPr>
          <w:sz w:val="23"/>
        </w:rPr>
        <w:t>year?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66" w:lineRule="auto" w:before="108" w:after="0"/>
        <w:ind w:left="480" w:right="1796" w:hanging="360"/>
        <w:jc w:val="left"/>
        <w:rPr>
          <w:sz w:val="23"/>
        </w:rPr>
      </w:pPr>
      <w:r>
        <w:rPr>
          <w:sz w:val="23"/>
        </w:rPr>
        <w:t>What is the number of students with disabilities represented by</w:t>
      </w:r>
      <w:r>
        <w:rPr>
          <w:spacing w:val="-26"/>
          <w:sz w:val="23"/>
        </w:rPr>
        <w:t> </w:t>
      </w:r>
      <w:r>
        <w:rPr>
          <w:sz w:val="23"/>
        </w:rPr>
        <w:t>this percentage?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68" w:lineRule="auto" w:before="78" w:after="0"/>
        <w:ind w:left="480" w:right="1286" w:hanging="360"/>
        <w:jc w:val="left"/>
        <w:rPr>
          <w:sz w:val="23"/>
        </w:rPr>
      </w:pPr>
      <w:r>
        <w:rPr>
          <w:sz w:val="23"/>
        </w:rPr>
        <w:t>Is the current year’s graduation rate similar to, higher, or lower than the graduation rate in past years?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75" w:after="0"/>
        <w:ind w:left="480" w:right="0" w:hanging="360"/>
        <w:jc w:val="left"/>
        <w:rPr>
          <w:sz w:val="23"/>
        </w:rPr>
      </w:pPr>
      <w:r>
        <w:rPr>
          <w:sz w:val="23"/>
        </w:rPr>
        <w:t>What percentage of former students dropped out of school last</w:t>
      </w:r>
      <w:r>
        <w:rPr>
          <w:spacing w:val="-14"/>
          <w:sz w:val="23"/>
        </w:rPr>
        <w:t> </w:t>
      </w:r>
      <w:r>
        <w:rPr>
          <w:sz w:val="23"/>
        </w:rPr>
        <w:t>year?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68" w:lineRule="auto" w:before="108" w:after="0"/>
        <w:ind w:left="480" w:right="1057" w:hanging="360"/>
        <w:jc w:val="left"/>
        <w:rPr>
          <w:sz w:val="23"/>
        </w:rPr>
      </w:pPr>
      <w:r>
        <w:rPr>
          <w:sz w:val="23"/>
        </w:rPr>
        <w:t>What is the actual number of students with disabilities represented by</w:t>
      </w:r>
      <w:r>
        <w:rPr>
          <w:spacing w:val="-29"/>
          <w:sz w:val="23"/>
        </w:rPr>
        <w:t> </w:t>
      </w:r>
      <w:r>
        <w:rPr>
          <w:sz w:val="23"/>
        </w:rPr>
        <w:t>this percentage?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66" w:lineRule="auto" w:before="75" w:after="0"/>
        <w:ind w:left="481" w:right="641" w:hanging="361"/>
        <w:jc w:val="left"/>
        <w:rPr>
          <w:sz w:val="23"/>
        </w:rPr>
      </w:pPr>
      <w:r>
        <w:rPr>
          <w:sz w:val="23"/>
        </w:rPr>
        <w:t>Is the current year’s dropout rate similar to, higher, or lower than the</w:t>
      </w:r>
      <w:r>
        <w:rPr>
          <w:spacing w:val="-27"/>
          <w:sz w:val="23"/>
        </w:rPr>
        <w:t> </w:t>
      </w:r>
      <w:r>
        <w:rPr>
          <w:sz w:val="23"/>
        </w:rPr>
        <w:t>dropout rate of past</w:t>
      </w:r>
      <w:r>
        <w:rPr>
          <w:spacing w:val="-2"/>
          <w:sz w:val="23"/>
        </w:rPr>
        <w:t> </w:t>
      </w:r>
      <w:r>
        <w:rPr>
          <w:sz w:val="23"/>
        </w:rPr>
        <w:t>years?</w:t>
      </w:r>
    </w:p>
    <w:p>
      <w:pPr>
        <w:pStyle w:val="BodyText"/>
        <w:spacing w:before="3"/>
        <w:ind w:left="0" w:firstLine="0"/>
        <w:rPr>
          <w:sz w:val="20"/>
        </w:rPr>
      </w:pPr>
    </w:p>
    <w:p>
      <w:pPr>
        <w:spacing w:line="266" w:lineRule="auto" w:before="0"/>
        <w:ind w:left="121" w:right="430" w:firstLine="0"/>
        <w:jc w:val="left"/>
        <w:rPr>
          <w:i/>
          <w:sz w:val="23"/>
        </w:rPr>
      </w:pPr>
      <w:r>
        <w:rPr>
          <w:i/>
          <w:sz w:val="23"/>
        </w:rPr>
        <w:t>The following questions address issues experienced by youth with disabilities in the </w:t>
      </w:r>
      <w:r>
        <w:rPr>
          <w:i/>
          <w:sz w:val="23"/>
        </w:rPr>
        <w:t>district and or school.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66" w:lineRule="auto" w:before="80" w:after="0"/>
        <w:ind w:left="481" w:right="482" w:hanging="360"/>
        <w:jc w:val="left"/>
        <w:rPr>
          <w:sz w:val="23"/>
        </w:rPr>
      </w:pPr>
      <w:r>
        <w:rPr>
          <w:sz w:val="23"/>
        </w:rPr>
        <w:t>Considering the overall graduation and dropout rates for youth with disabilities from your school/district, what surprised</w:t>
      </w:r>
      <w:r>
        <w:rPr>
          <w:spacing w:val="-5"/>
          <w:sz w:val="23"/>
        </w:rPr>
        <w:t> </w:t>
      </w:r>
      <w:r>
        <w:rPr>
          <w:sz w:val="23"/>
        </w:rPr>
        <w:t>you?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78" w:after="0"/>
        <w:ind w:left="481" w:right="0" w:hanging="360"/>
        <w:jc w:val="left"/>
        <w:rPr>
          <w:sz w:val="23"/>
        </w:rPr>
      </w:pPr>
      <w:r>
        <w:rPr>
          <w:sz w:val="23"/>
        </w:rPr>
        <w:t>What do you think contributes to the graduation and dropout</w:t>
      </w:r>
      <w:r>
        <w:rPr>
          <w:spacing w:val="-11"/>
          <w:sz w:val="23"/>
        </w:rPr>
        <w:t> </w:t>
      </w:r>
      <w:r>
        <w:rPr>
          <w:sz w:val="23"/>
        </w:rPr>
        <w:t>rates?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66" w:lineRule="auto" w:before="111" w:after="0"/>
        <w:ind w:left="481" w:right="1082" w:hanging="360"/>
        <w:jc w:val="left"/>
        <w:rPr>
          <w:sz w:val="23"/>
        </w:rPr>
      </w:pPr>
      <w:r>
        <w:rPr>
          <w:sz w:val="23"/>
        </w:rPr>
        <w:t>What types of classes, academic/vocational, do students who graduate (or dropout) from high school typically take while in high</w:t>
      </w:r>
      <w:r>
        <w:rPr>
          <w:spacing w:val="-16"/>
          <w:sz w:val="23"/>
        </w:rPr>
        <w:t> </w:t>
      </w:r>
      <w:r>
        <w:rPr>
          <w:sz w:val="23"/>
        </w:rPr>
        <w:t>school?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66" w:lineRule="auto" w:before="78" w:after="0"/>
        <w:ind w:left="481" w:right="887" w:hanging="360"/>
        <w:jc w:val="left"/>
        <w:rPr>
          <w:sz w:val="23"/>
        </w:rPr>
      </w:pPr>
      <w:r>
        <w:rPr>
          <w:sz w:val="23"/>
        </w:rPr>
        <w:t>What district-wide policies and or procedures contribute to students with disabilities dropping out of high school? What are barriers to their</w:t>
      </w:r>
      <w:r>
        <w:rPr>
          <w:spacing w:val="-27"/>
          <w:sz w:val="23"/>
        </w:rPr>
        <w:t> </w:t>
      </w:r>
      <w:r>
        <w:rPr>
          <w:sz w:val="23"/>
        </w:rPr>
        <w:t>dropping out?</w:t>
      </w:r>
    </w:p>
    <w:p>
      <w:pPr>
        <w:pStyle w:val="BodyText"/>
        <w:spacing w:before="2"/>
        <w:ind w:left="0" w:firstLine="0"/>
        <w:rPr>
          <w:sz w:val="20"/>
        </w:rPr>
      </w:pPr>
    </w:p>
    <w:p>
      <w:pPr>
        <w:spacing w:line="266" w:lineRule="auto" w:before="0"/>
        <w:ind w:left="121" w:right="350" w:firstLine="0"/>
        <w:jc w:val="left"/>
        <w:rPr>
          <w:i/>
          <w:sz w:val="23"/>
        </w:rPr>
      </w:pPr>
      <w:r>
        <w:rPr>
          <w:i/>
          <w:sz w:val="23"/>
        </w:rPr>
        <w:t>If the competitive employment rate for youth with disabilities in your district/school </w:t>
      </w:r>
      <w:r>
        <w:rPr>
          <w:i/>
          <w:sz w:val="23"/>
        </w:rPr>
        <w:t>is lower than the State’s employment rate or benchmark consider the following questions: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66" w:lineRule="auto" w:before="79" w:after="0"/>
        <w:ind w:left="481" w:right="757" w:hanging="360"/>
        <w:jc w:val="left"/>
        <w:rPr>
          <w:sz w:val="23"/>
        </w:rPr>
      </w:pPr>
      <w:r>
        <w:rPr>
          <w:sz w:val="23"/>
        </w:rPr>
        <w:t>What services does the district provide that contribute to youth becoming competitively employed once they exit school? For example, does the</w:t>
      </w:r>
      <w:r>
        <w:rPr>
          <w:spacing w:val="-29"/>
          <w:sz w:val="23"/>
        </w:rPr>
        <w:t> </w:t>
      </w:r>
      <w:r>
        <w:rPr>
          <w:sz w:val="23"/>
        </w:rPr>
        <w:t>district provide job coaches; is there an interagency agreement between the school district and the local vocational rehabilitation</w:t>
      </w:r>
      <w:r>
        <w:rPr>
          <w:spacing w:val="-3"/>
          <w:sz w:val="23"/>
        </w:rPr>
        <w:t> </w:t>
      </w:r>
      <w:r>
        <w:rPr>
          <w:sz w:val="23"/>
        </w:rPr>
        <w:t>office?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66" w:lineRule="auto" w:before="79" w:after="0"/>
        <w:ind w:left="481" w:right="596" w:hanging="360"/>
        <w:jc w:val="left"/>
        <w:rPr>
          <w:sz w:val="23"/>
        </w:rPr>
      </w:pPr>
      <w:r>
        <w:rPr>
          <w:sz w:val="23"/>
        </w:rPr>
        <w:t>What district barriers limit competitive employment for youth with disabilities? How is the district addressing the barriers or preparing students to overcome them?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77" w:after="0"/>
        <w:ind w:left="481" w:right="0" w:hanging="360"/>
        <w:jc w:val="left"/>
        <w:rPr>
          <w:sz w:val="23"/>
        </w:rPr>
      </w:pPr>
      <w:r>
        <w:rPr>
          <w:sz w:val="23"/>
        </w:rPr>
        <w:t>How is career awareness and job training an explicit part of the</w:t>
      </w:r>
      <w:r>
        <w:rPr>
          <w:spacing w:val="-20"/>
          <w:sz w:val="23"/>
        </w:rPr>
        <w:t> </w:t>
      </w:r>
      <w:r>
        <w:rPr>
          <w:sz w:val="23"/>
        </w:rPr>
        <w:t>curriculum?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66" w:lineRule="auto" w:before="111" w:after="0"/>
        <w:ind w:left="481" w:right="1339" w:hanging="360"/>
        <w:jc w:val="left"/>
        <w:rPr>
          <w:sz w:val="23"/>
        </w:rPr>
      </w:pPr>
      <w:r>
        <w:rPr>
          <w:sz w:val="23"/>
        </w:rPr>
        <w:t>Is there a concerted district-wide effort to provide vocational and career technical education courses to youth with disabilities in high</w:t>
      </w:r>
      <w:r>
        <w:rPr>
          <w:spacing w:val="-16"/>
          <w:sz w:val="23"/>
        </w:rPr>
        <w:t> </w:t>
      </w:r>
      <w:r>
        <w:rPr>
          <w:sz w:val="23"/>
        </w:rPr>
        <w:t>school?</w:t>
      </w:r>
    </w:p>
    <w:p>
      <w:pPr>
        <w:spacing w:after="0" w:line="266" w:lineRule="auto"/>
        <w:jc w:val="left"/>
        <w:rPr>
          <w:sz w:val="23"/>
        </w:rPr>
        <w:sectPr>
          <w:footerReference w:type="default" r:id="rId5"/>
          <w:type w:val="continuous"/>
          <w:pgSz w:w="12240" w:h="15840"/>
          <w:pgMar w:footer="1400" w:top="1360" w:bottom="1580" w:left="1320" w:right="1080"/>
          <w:pgNumType w:start="8"/>
        </w:sectPr>
      </w:pPr>
    </w:p>
    <w:p>
      <w:pPr>
        <w:spacing w:line="266" w:lineRule="auto" w:before="81"/>
        <w:ind w:left="120" w:right="518" w:firstLine="0"/>
        <w:jc w:val="left"/>
        <w:rPr>
          <w:i/>
          <w:sz w:val="23"/>
        </w:rPr>
      </w:pPr>
      <w:r>
        <w:rPr>
          <w:i/>
          <w:sz w:val="23"/>
        </w:rPr>
        <w:t>If you determine the enrollment rate for youth with disabilities in postsecondary </w:t>
      </w:r>
      <w:r>
        <w:rPr>
          <w:i/>
          <w:sz w:val="23"/>
        </w:rPr>
        <w:t>education and training is lower than the State target or benchmark, consider the following: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66" w:lineRule="auto" w:before="79" w:after="0"/>
        <w:ind w:left="480" w:right="485" w:hanging="360"/>
        <w:jc w:val="left"/>
        <w:rPr>
          <w:sz w:val="23"/>
        </w:rPr>
      </w:pPr>
      <w:r>
        <w:rPr>
          <w:sz w:val="23"/>
        </w:rPr>
        <w:t>How are youth with disabilities provided specific opportunities to learn about a variety of post high school learning opportunities, including vocational and training programs, trade schools, community and adult learning programs</w:t>
      </w:r>
      <w:r>
        <w:rPr>
          <w:spacing w:val="-27"/>
          <w:sz w:val="23"/>
        </w:rPr>
        <w:t> </w:t>
      </w:r>
      <w:r>
        <w:rPr>
          <w:sz w:val="23"/>
        </w:rPr>
        <w:t>(i.e., not just 2- or 4-year</w:t>
      </w:r>
      <w:r>
        <w:rPr>
          <w:spacing w:val="-5"/>
          <w:sz w:val="23"/>
        </w:rPr>
        <w:t> </w:t>
      </w:r>
      <w:r>
        <w:rPr>
          <w:sz w:val="23"/>
        </w:rPr>
        <w:t>colleges)?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66" w:lineRule="auto" w:before="76" w:after="0"/>
        <w:ind w:left="479" w:right="653" w:hanging="360"/>
        <w:jc w:val="left"/>
        <w:rPr>
          <w:sz w:val="23"/>
        </w:rPr>
      </w:pPr>
      <w:r>
        <w:rPr>
          <w:sz w:val="23"/>
        </w:rPr>
        <w:t>When do youth who are interested in attending a vocational, training, or trade school program have opportunities to visit the school, apply for scholarships, and receive help with admittance procedures? Are youth with disabilities specifically targeted to participate in these</w:t>
      </w:r>
      <w:r>
        <w:rPr>
          <w:spacing w:val="-12"/>
          <w:sz w:val="23"/>
        </w:rPr>
        <w:t> </w:t>
      </w:r>
      <w:r>
        <w:rPr>
          <w:sz w:val="23"/>
        </w:rPr>
        <w:t>activities?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66" w:lineRule="auto" w:before="79" w:after="0"/>
        <w:ind w:left="480" w:right="492" w:hanging="360"/>
        <w:jc w:val="left"/>
        <w:rPr>
          <w:sz w:val="23"/>
        </w:rPr>
      </w:pPr>
      <w:r>
        <w:rPr>
          <w:sz w:val="23"/>
        </w:rPr>
        <w:t>Do youth with disabilities have the skills, services, and supports to successfully complete their high school education, thereby preparing them to enroll in and complete postsecondary education or training</w:t>
      </w:r>
      <w:r>
        <w:rPr>
          <w:spacing w:val="-10"/>
          <w:sz w:val="23"/>
        </w:rPr>
        <w:t> </w:t>
      </w:r>
      <w:r>
        <w:rPr>
          <w:sz w:val="23"/>
        </w:rPr>
        <w:t>programs?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80" w:after="0"/>
        <w:ind w:left="480" w:right="371" w:hanging="360"/>
        <w:jc w:val="left"/>
        <w:rPr>
          <w:sz w:val="23"/>
        </w:rPr>
      </w:pPr>
      <w:r>
        <w:rPr>
          <w:sz w:val="23"/>
        </w:rPr>
        <w:t>How are youth with disabilities explicitly taught self-advocacy and self- determination skills that they will need to successfully avoid or overcome a variety of challenges they may face once they leave high school and seek further education?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66" w:lineRule="auto" w:before="56" w:after="0"/>
        <w:ind w:left="480" w:right="2249" w:hanging="360"/>
        <w:jc w:val="left"/>
        <w:rPr>
          <w:sz w:val="23"/>
        </w:rPr>
      </w:pPr>
      <w:r>
        <w:rPr>
          <w:sz w:val="23"/>
        </w:rPr>
        <w:t>How are youth and their parents informed about postsecondary education/training</w:t>
      </w:r>
      <w:r>
        <w:rPr>
          <w:spacing w:val="-2"/>
          <w:sz w:val="23"/>
        </w:rPr>
        <w:t> </w:t>
      </w:r>
      <w:r>
        <w:rPr>
          <w:sz w:val="23"/>
        </w:rPr>
        <w:t>programs?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66" w:lineRule="auto" w:before="80" w:after="0"/>
        <w:ind w:left="480" w:right="687" w:hanging="360"/>
        <w:jc w:val="left"/>
        <w:rPr>
          <w:sz w:val="23"/>
        </w:rPr>
      </w:pPr>
      <w:r>
        <w:rPr>
          <w:sz w:val="23"/>
        </w:rPr>
        <w:t>How are parents and youth active participants in the decision making process relative to identifying post-school goals for further</w:t>
      </w:r>
      <w:r>
        <w:rPr>
          <w:spacing w:val="-11"/>
          <w:sz w:val="23"/>
        </w:rPr>
        <w:t> </w:t>
      </w:r>
      <w:r>
        <w:rPr>
          <w:sz w:val="23"/>
        </w:rPr>
        <w:t>education?</w:t>
      </w:r>
    </w:p>
    <w:p>
      <w:pPr>
        <w:pStyle w:val="BodyText"/>
        <w:spacing w:before="159"/>
        <w:ind w:left="120" w:firstLine="0"/>
        <w:rPr>
          <w:b/>
        </w:rPr>
      </w:pPr>
      <w:r>
        <w:rPr>
          <w:b/>
        </w:rPr>
        <w:t>Strategies to Encourage Participation</w:t>
      </w: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109" w:after="0"/>
        <w:ind w:left="480" w:right="0" w:hanging="360"/>
        <w:jc w:val="left"/>
        <w:rPr>
          <w:sz w:val="23"/>
        </w:rPr>
      </w:pPr>
      <w:r>
        <w:rPr>
          <w:sz w:val="23"/>
        </w:rPr>
        <w:t>Provide Pre-Notification &amp; Create</w:t>
      </w:r>
      <w:r>
        <w:rPr>
          <w:spacing w:val="-4"/>
          <w:sz w:val="23"/>
        </w:rPr>
        <w:t> </w:t>
      </w:r>
      <w:r>
        <w:rPr>
          <w:sz w:val="23"/>
        </w:rPr>
        <w:t>Familiarity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  <w:tab w:pos="841" w:val="left" w:leader="none"/>
        </w:tabs>
        <w:spacing w:line="264" w:lineRule="auto" w:before="30" w:after="0"/>
        <w:ind w:left="840" w:right="603" w:hanging="360"/>
        <w:jc w:val="left"/>
        <w:rPr>
          <w:rFonts w:ascii="Symbol" w:hAnsi="Symbol"/>
          <w:sz w:val="23"/>
        </w:rPr>
      </w:pPr>
      <w:r>
        <w:rPr>
          <w:sz w:val="23"/>
        </w:rPr>
        <w:t>Discuss the follow-up interview with students before they leave school. Tell them what to expect and</w:t>
      </w:r>
      <w:r>
        <w:rPr>
          <w:spacing w:val="-6"/>
          <w:sz w:val="23"/>
        </w:rPr>
        <w:t> </w:t>
      </w:r>
      <w:r>
        <w:rPr>
          <w:sz w:val="23"/>
        </w:rPr>
        <w:t>why.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  <w:tab w:pos="841" w:val="left" w:leader="none"/>
        </w:tabs>
        <w:spacing w:line="264" w:lineRule="auto" w:before="2" w:after="0"/>
        <w:ind w:left="840" w:right="416" w:hanging="360"/>
        <w:jc w:val="left"/>
        <w:rPr>
          <w:rFonts w:ascii="Symbol" w:hAnsi="Symbol"/>
          <w:sz w:val="23"/>
        </w:rPr>
      </w:pPr>
      <w:r>
        <w:rPr>
          <w:sz w:val="23"/>
        </w:rPr>
        <w:t>The most motivating factor for completing interviews was the chance to help other students. Tell them how the information they share will be used to help others like</w:t>
      </w:r>
      <w:r>
        <w:rPr>
          <w:spacing w:val="-6"/>
          <w:sz w:val="23"/>
        </w:rPr>
        <w:t> </w:t>
      </w:r>
      <w:r>
        <w:rPr>
          <w:sz w:val="23"/>
        </w:rPr>
        <w:t>them.</w:t>
      </w:r>
    </w:p>
    <w:p>
      <w:pPr>
        <w:pStyle w:val="ListParagraph"/>
        <w:numPr>
          <w:ilvl w:val="1"/>
          <w:numId w:val="5"/>
        </w:numPr>
        <w:tabs>
          <w:tab w:pos="841" w:val="left" w:leader="none"/>
        </w:tabs>
        <w:spacing w:line="264" w:lineRule="auto" w:before="4" w:after="0"/>
        <w:ind w:left="840" w:right="551" w:hanging="360"/>
        <w:jc w:val="both"/>
        <w:rPr>
          <w:rFonts w:ascii="Symbol" w:hAnsi="Symbol"/>
          <w:sz w:val="23"/>
        </w:rPr>
      </w:pPr>
      <w:r>
        <w:rPr>
          <w:sz w:val="23"/>
        </w:rPr>
        <w:t>Include PSO information (e.g., the PSO postcard they will be receiving about the interview) along with other information distributed at the end of school (e.g., information about diplomas,</w:t>
      </w:r>
      <w:r>
        <w:rPr>
          <w:spacing w:val="-3"/>
          <w:sz w:val="23"/>
        </w:rPr>
        <w:t> </w:t>
      </w:r>
      <w:r>
        <w:rPr>
          <w:sz w:val="23"/>
        </w:rPr>
        <w:t>graduation).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  <w:tab w:pos="840" w:val="left" w:leader="none"/>
        </w:tabs>
        <w:spacing w:line="240" w:lineRule="auto" w:before="3" w:after="0"/>
        <w:ind w:left="840" w:right="3954" w:hanging="360"/>
        <w:jc w:val="left"/>
        <w:rPr>
          <w:rFonts w:ascii="Symbol" w:hAnsi="Symbol"/>
          <w:sz w:val="23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4715510</wp:posOffset>
            </wp:positionH>
            <wp:positionV relativeFrom="paragraph">
              <wp:posOffset>8690</wp:posOffset>
            </wp:positionV>
            <wp:extent cx="2301874" cy="12896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874" cy="128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During the last IEP meeting, ask students to address the PSO post card to themselves (copy available on TCN). This card will be mailed as a reminder to complete the Follow- Up</w:t>
      </w:r>
      <w:r>
        <w:rPr>
          <w:spacing w:val="-3"/>
          <w:sz w:val="23"/>
        </w:rPr>
        <w:t> </w:t>
      </w:r>
      <w:r>
        <w:rPr>
          <w:sz w:val="23"/>
        </w:rPr>
        <w:t>interview.</w:t>
      </w:r>
    </w:p>
    <w:p>
      <w:pPr>
        <w:pStyle w:val="Heading1"/>
        <w:numPr>
          <w:ilvl w:val="0"/>
          <w:numId w:val="5"/>
        </w:numPr>
        <w:tabs>
          <w:tab w:pos="624" w:val="left" w:leader="none"/>
        </w:tabs>
        <w:spacing w:line="282" w:lineRule="exact" w:before="0" w:after="0"/>
        <w:ind w:left="624" w:right="0" w:hanging="360"/>
        <w:jc w:val="left"/>
      </w:pPr>
      <w:r>
        <w:rPr/>
        <w:t>Show Interest When Conducting the</w:t>
      </w:r>
      <w:r>
        <w:rPr>
          <w:spacing w:val="-10"/>
        </w:rPr>
        <w:t> </w:t>
      </w:r>
      <w:r>
        <w:rPr/>
        <w:t>Survey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82" w:lineRule="exact" w:before="1" w:after="0"/>
        <w:ind w:left="624" w:right="0" w:hanging="36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Contact</w:t>
      </w:r>
    </w:p>
    <w:p>
      <w:pPr>
        <w:pStyle w:val="ListParagraph"/>
        <w:numPr>
          <w:ilvl w:val="1"/>
          <w:numId w:val="5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4363" w:hanging="360"/>
        <w:jc w:val="left"/>
        <w:rPr>
          <w:rFonts w:ascii="Symbol" w:hAnsi="Symbol"/>
          <w:sz w:val="24"/>
        </w:rPr>
      </w:pPr>
      <w:r>
        <w:rPr>
          <w:sz w:val="24"/>
        </w:rPr>
        <w:t>Use PSO logo on all materials and reminders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400" w:top="1360" w:bottom="1580" w:left="1320" w:right="10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1128"/>
        <w:gridCol w:w="2150"/>
        <w:gridCol w:w="1161"/>
      </w:tblGrid>
      <w:tr>
        <w:trPr>
          <w:trHeight w:val="282" w:hRule="atLeast"/>
        </w:trPr>
        <w:tc>
          <w:tcPr>
            <w:tcW w:w="4910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Example- most current district data</w:t>
            </w:r>
          </w:p>
        </w:tc>
        <w:tc>
          <w:tcPr>
            <w:tcW w:w="1128" w:type="dxa"/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District</w:t>
            </w:r>
          </w:p>
        </w:tc>
        <w:tc>
          <w:tcPr>
            <w:tcW w:w="2150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District Trend</w:t>
            </w:r>
          </w:p>
        </w:tc>
        <w:tc>
          <w:tcPr>
            <w:tcW w:w="116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</w:tr>
      <w:tr>
        <w:trPr>
          <w:trHeight w:val="565" w:hRule="atLeast"/>
        </w:trPr>
        <w:tc>
          <w:tcPr>
            <w:tcW w:w="491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Graduation Rate (4 year)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215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  <w:p>
            <w:pPr>
              <w:pStyle w:val="TableParagraph"/>
              <w:spacing w:line="260" w:lineRule="exact"/>
              <w:rPr>
                <w:sz w:val="12"/>
              </w:rPr>
            </w:pPr>
            <w:r>
              <w:rPr>
                <w:sz w:val="24"/>
              </w:rPr>
              <w:t>(state increase)</w:t>
            </w:r>
            <w:r>
              <w:rPr>
                <w:position w:val="9"/>
                <w:sz w:val="12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>
        <w:trPr>
          <w:trHeight w:val="563" w:hRule="atLeast"/>
        </w:trPr>
        <w:tc>
          <w:tcPr>
            <w:tcW w:w="491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Graduation Rate (5 year)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2150" w:type="dxa"/>
          </w:tcPr>
          <w:p>
            <w:pPr>
              <w:pStyle w:val="TableParagraph"/>
              <w:spacing w:line="282" w:lineRule="exact" w:before="3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  <w:p>
            <w:pPr>
              <w:pStyle w:val="TableParagraph"/>
              <w:spacing w:line="259" w:lineRule="exact"/>
              <w:rPr>
                <w:sz w:val="12"/>
              </w:rPr>
            </w:pPr>
            <w:r>
              <w:rPr>
                <w:sz w:val="24"/>
              </w:rPr>
              <w:t>(state increase)</w:t>
            </w:r>
            <w:r>
              <w:rPr>
                <w:position w:val="9"/>
                <w:sz w:val="12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>
        <w:trPr>
          <w:trHeight w:val="565" w:hRule="atLeast"/>
        </w:trPr>
        <w:tc>
          <w:tcPr>
            <w:tcW w:w="491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Drop Rate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3.7%</w:t>
            </w:r>
          </w:p>
        </w:tc>
        <w:tc>
          <w:tcPr>
            <w:tcW w:w="215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Decrease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(state decrease)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>
        <w:trPr>
          <w:trHeight w:val="849" w:hRule="atLeast"/>
        </w:trPr>
        <w:tc>
          <w:tcPr>
            <w:tcW w:w="4910" w:type="dxa"/>
          </w:tcPr>
          <w:p>
            <w:pPr>
              <w:pStyle w:val="TableParagraph"/>
              <w:spacing w:line="280" w:lineRule="atLeast" w:before="3"/>
              <w:ind w:left="107" w:right="170"/>
              <w:rPr>
                <w:sz w:val="24"/>
              </w:rPr>
            </w:pPr>
            <w:r>
              <w:rPr>
                <w:sz w:val="24"/>
              </w:rPr>
              <w:t>Students with quality IEP’s as measured by compliance on all 8 transition standards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5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(state increase)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>
        <w:trPr>
          <w:trHeight w:val="561" w:hRule="atLeast"/>
        </w:trPr>
        <w:tc>
          <w:tcPr>
            <w:tcW w:w="4910" w:type="dxa"/>
          </w:tcPr>
          <w:p>
            <w:pPr>
              <w:pStyle w:val="TableParagraph"/>
              <w:spacing w:line="280" w:lineRule="exact" w:before="9"/>
              <w:ind w:left="107" w:right="555"/>
              <w:rPr>
                <w:sz w:val="24"/>
              </w:rPr>
            </w:pPr>
            <w:r>
              <w:rPr>
                <w:sz w:val="24"/>
              </w:rPr>
              <w:t>Students in post-secondary school 1 year out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2150" w:type="dxa"/>
          </w:tcPr>
          <w:p>
            <w:pPr>
              <w:pStyle w:val="TableParagraph"/>
              <w:spacing w:line="282" w:lineRule="exact" w:before="1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(state increase)</w:t>
            </w:r>
          </w:p>
        </w:tc>
        <w:tc>
          <w:tcPr>
            <w:tcW w:w="116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>
        <w:trPr>
          <w:trHeight w:val="842" w:hRule="atLeast"/>
        </w:trPr>
        <w:tc>
          <w:tcPr>
            <w:tcW w:w="4910" w:type="dxa"/>
          </w:tcPr>
          <w:p>
            <w:pPr>
              <w:pStyle w:val="TableParagraph"/>
              <w:spacing w:line="284" w:lineRule="exact"/>
              <w:ind w:left="107" w:right="390"/>
              <w:jc w:val="both"/>
              <w:rPr>
                <w:sz w:val="24"/>
              </w:rPr>
            </w:pPr>
            <w:r>
              <w:rPr>
                <w:sz w:val="24"/>
              </w:rPr>
              <w:t>Students competitively employed one year out &amp; in post-secondary school 1 year out</w:t>
            </w:r>
          </w:p>
        </w:tc>
        <w:tc>
          <w:tcPr>
            <w:tcW w:w="1128" w:type="dxa"/>
          </w:tcPr>
          <w:p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2150" w:type="dxa"/>
          </w:tcPr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(state increase)</w:t>
            </w:r>
          </w:p>
        </w:tc>
        <w:tc>
          <w:tcPr>
            <w:tcW w:w="1161" w:type="dxa"/>
          </w:tcPr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>
        <w:trPr>
          <w:trHeight w:val="556" w:hRule="atLeast"/>
        </w:trPr>
        <w:tc>
          <w:tcPr>
            <w:tcW w:w="4910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engagement</w:t>
            </w:r>
          </w:p>
        </w:tc>
        <w:tc>
          <w:tcPr>
            <w:tcW w:w="1128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215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(state increase)</w:t>
            </w:r>
          </w:p>
        </w:tc>
        <w:tc>
          <w:tcPr>
            <w:tcW w:w="116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</w:tbl>
    <w:p>
      <w:pPr>
        <w:spacing w:before="1"/>
        <w:ind w:left="120" w:right="0" w:firstLine="0"/>
        <w:jc w:val="left"/>
        <w:rPr>
          <w:sz w:val="20"/>
        </w:rPr>
      </w:pPr>
      <w:r>
        <w:rPr>
          <w:position w:val="8"/>
          <w:sz w:val="10"/>
        </w:rPr>
        <w:t>1</w:t>
      </w:r>
      <w:r>
        <w:rPr>
          <w:sz w:val="20"/>
        </w:rPr>
        <w:t>Modified diplomas included as graduates</w:t>
      </w:r>
    </w:p>
    <w:sectPr>
      <w:pgSz w:w="12240" w:h="15840"/>
      <w:pgMar w:header="0" w:footer="1400" w:top="1440" w:bottom="164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40009pt;margin-top:708.086548pt;width:17.95pt;height:15.0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80" w:hanging="361"/>
        <w:jc w:val="right"/>
      </w:pPr>
      <w:rPr>
        <w:rFonts w:hint="default"/>
        <w:w w:val="100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Lucida Sans" w:hAnsi="Lucida Sans" w:eastAsia="Lucida Sans" w:cs="Lucida Sans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41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Lucida Sans" w:hAnsi="Lucida Sans" w:eastAsia="Lucida Sans" w:cs="Lucida Sans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41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Lucida Sans" w:hAnsi="Lucida Sans" w:eastAsia="Lucida Sans" w:cs="Lucida Sans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41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Lucida Sans" w:hAnsi="Lucida Sans" w:eastAsia="Lucida Sans" w:cs="Lucida Sans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41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79"/>
      <w:ind w:left="480" w:hanging="360"/>
    </w:pPr>
    <w:rPr>
      <w:rFonts w:ascii="Lucida Sans" w:hAnsi="Lucida Sans" w:eastAsia="Lucida Sans" w:cs="Lucida Sans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82" w:lineRule="exact"/>
      <w:ind w:left="624" w:hanging="360"/>
      <w:outlineLvl w:val="1"/>
    </w:pPr>
    <w:rPr>
      <w:rFonts w:ascii="Lucida Sans" w:hAnsi="Lucida Sans" w:eastAsia="Lucida Sans" w:cs="Lucida Sans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9"/>
      <w:ind w:left="480" w:hanging="36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dcterms:created xsi:type="dcterms:W3CDTF">2018-10-10T20:52:51Z</dcterms:created>
  <dcterms:modified xsi:type="dcterms:W3CDTF">2018-10-10T20:52:51Z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2018-10-10T00:00:00Z</vt:filetime>
  </property>
</Properties>
</file>