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DA" w:rsidRDefault="00073128">
      <w:pPr>
        <w:tabs>
          <w:tab w:val="left" w:pos="9229"/>
        </w:tabs>
        <w:spacing w:before="60"/>
        <w:ind w:left="244"/>
        <w:rPr>
          <w:rFonts w:ascii="Franklin Gothic Medium"/>
          <w:sz w:val="50"/>
        </w:rPr>
      </w:pPr>
      <w:r>
        <w:rPr>
          <w:rFonts w:ascii="Franklin Gothic Medium"/>
          <w:color w:val="005490"/>
          <w:sz w:val="50"/>
        </w:rPr>
        <w:t>Annual</w:t>
      </w:r>
      <w:r>
        <w:rPr>
          <w:rFonts w:ascii="Franklin Gothic Medium"/>
          <w:color w:val="005490"/>
          <w:spacing w:val="-4"/>
          <w:sz w:val="50"/>
        </w:rPr>
        <w:t xml:space="preserve"> </w:t>
      </w:r>
      <w:r>
        <w:rPr>
          <w:rFonts w:ascii="Franklin Gothic Medium"/>
          <w:color w:val="005490"/>
          <w:sz w:val="50"/>
        </w:rPr>
        <w:t>IEP</w:t>
      </w:r>
      <w:r>
        <w:rPr>
          <w:rFonts w:ascii="Franklin Gothic Medium"/>
          <w:color w:val="005490"/>
          <w:spacing w:val="-5"/>
          <w:sz w:val="50"/>
        </w:rPr>
        <w:t xml:space="preserve"> </w:t>
      </w:r>
      <w:r>
        <w:rPr>
          <w:rFonts w:ascii="Franklin Gothic Medium"/>
          <w:color w:val="005490"/>
          <w:sz w:val="50"/>
        </w:rPr>
        <w:t>Goals</w:t>
      </w:r>
      <w:r>
        <w:rPr>
          <w:rFonts w:ascii="Franklin Gothic Medium"/>
          <w:color w:val="005490"/>
          <w:sz w:val="50"/>
        </w:rPr>
        <w:tab/>
      </w:r>
      <w:r>
        <w:rPr>
          <w:rFonts w:ascii="Franklin Gothic Medium"/>
          <w:noProof/>
          <w:color w:val="005490"/>
          <w:position w:val="-9"/>
          <w:sz w:val="50"/>
        </w:rPr>
        <w:drawing>
          <wp:inline distT="0" distB="0" distL="0" distR="0">
            <wp:extent cx="597534" cy="3653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7534" cy="365384"/>
                    </a:xfrm>
                    <a:prstGeom prst="rect">
                      <a:avLst/>
                    </a:prstGeom>
                  </pic:spPr>
                </pic:pic>
              </a:graphicData>
            </a:graphic>
          </wp:inline>
        </w:drawing>
      </w:r>
    </w:p>
    <w:p w:rsidR="000441DA" w:rsidRDefault="00073128">
      <w:pPr>
        <w:pStyle w:val="Heading1"/>
        <w:ind w:left="240"/>
      </w:pPr>
      <w:r>
        <w:pict>
          <v:line id="_x0000_s1027" style="position:absolute;left:0;text-align:left;z-index:-251659264;mso-position-horizontal-relative:page" from="104.55pt,32.05pt" to="457.65pt,32.05pt" strokecolor="#1eb050" strokeweight="2.25pt">
            <w10:wrap anchorx="page"/>
          </v:line>
        </w:pict>
      </w:r>
      <w:r>
        <w:rPr>
          <w:noProof/>
          <w:position w:val="-18"/>
        </w:rPr>
        <w:drawing>
          <wp:inline distT="0" distB="0" distL="0" distR="0">
            <wp:extent cx="264159" cy="27431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64159" cy="274316"/>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color w:val="1EB050"/>
        </w:rPr>
        <w:t>Law &amp;</w:t>
      </w:r>
      <w:r>
        <w:rPr>
          <w:color w:val="1EB050"/>
          <w:spacing w:val="-3"/>
        </w:rPr>
        <w:t xml:space="preserve"> </w:t>
      </w:r>
      <w:r>
        <w:rPr>
          <w:color w:val="1EB050"/>
        </w:rPr>
        <w:t>Guidelines</w:t>
      </w:r>
    </w:p>
    <w:p w:rsidR="000441DA" w:rsidRDefault="00073128">
      <w:pPr>
        <w:pStyle w:val="BodyText"/>
        <w:tabs>
          <w:tab w:val="left" w:pos="2159"/>
        </w:tabs>
        <w:spacing w:before="56"/>
        <w:ind w:left="120"/>
      </w:pPr>
      <w:r>
        <w:rPr>
          <w:b/>
        </w:rPr>
        <w:t>IDEA</w:t>
      </w:r>
      <w:r>
        <w:rPr>
          <w:b/>
          <w:spacing w:val="-4"/>
        </w:rPr>
        <w:t xml:space="preserve"> </w:t>
      </w:r>
      <w:r>
        <w:rPr>
          <w:b/>
        </w:rPr>
        <w:t>Regulation</w:t>
      </w:r>
      <w:r>
        <w:rPr>
          <w:b/>
        </w:rPr>
        <w:tab/>
      </w:r>
      <w:r>
        <w:t>34 CFR</w:t>
      </w:r>
      <w:r>
        <w:rPr>
          <w:spacing w:val="-1"/>
        </w:rPr>
        <w:t xml:space="preserve"> </w:t>
      </w:r>
      <w:r>
        <w:t>300.320(a</w:t>
      </w:r>
      <w:proofErr w:type="gramStart"/>
      <w:r>
        <w:t>)(</w:t>
      </w:r>
      <w:proofErr w:type="gramEnd"/>
      <w:r>
        <w:t>2)(</w:t>
      </w:r>
      <w:proofErr w:type="spellStart"/>
      <w:r>
        <w:t>i</w:t>
      </w:r>
      <w:proofErr w:type="spellEnd"/>
      <w:r>
        <w:t>)</w:t>
      </w:r>
    </w:p>
    <w:p w:rsidR="000441DA" w:rsidRDefault="00073128">
      <w:pPr>
        <w:pStyle w:val="BodyText"/>
        <w:spacing w:before="3"/>
        <w:ind w:right="975" w:firstLine="72"/>
      </w:pPr>
      <w:r>
        <w:t>(</w:t>
      </w:r>
      <w:proofErr w:type="gramStart"/>
      <w:r>
        <w:t>a</w:t>
      </w:r>
      <w:proofErr w:type="gramEnd"/>
      <w:r>
        <w:t xml:space="preserve">) </w:t>
      </w:r>
      <w:r>
        <w:rPr>
          <w:i/>
        </w:rPr>
        <w:t xml:space="preserve">General. </w:t>
      </w:r>
      <w:r>
        <w:t>As used in this part, the term individualized education program or IEP means a written statement for each child with a disability that is developed, reviewed, and revised in a meeting in accordance with §§300.320 through 300.324, and that must include—</w:t>
      </w:r>
    </w:p>
    <w:p w:rsidR="00073128" w:rsidRPr="00073128" w:rsidRDefault="00073128" w:rsidP="00073128">
      <w:pPr>
        <w:pStyle w:val="ListParagraph"/>
        <w:numPr>
          <w:ilvl w:val="1"/>
          <w:numId w:val="3"/>
        </w:numPr>
        <w:tabs>
          <w:tab w:val="left" w:pos="471"/>
        </w:tabs>
        <w:ind w:right="1883" w:firstLine="0"/>
      </w:pPr>
      <w:r>
        <w:t>(2)</w:t>
      </w:r>
      <w:r>
        <w:t>(</w:t>
      </w:r>
      <w:proofErr w:type="spellStart"/>
      <w:r>
        <w:t>i</w:t>
      </w:r>
      <w:proofErr w:type="spellEnd"/>
      <w:r>
        <w:t>) A statement of measurable annual goals, including academic and functional goals designed to—(A) Meet the child's needs that result from the child's disability to enable the child to be involved in and make progress in the general education curriculum;</w:t>
      </w:r>
      <w:r w:rsidRPr="00073128">
        <w:rPr>
          <w:i/>
          <w:sz w:val="23"/>
        </w:rPr>
        <w:t xml:space="preserve"> </w:t>
      </w:r>
      <w:r w:rsidRPr="00073128">
        <w:rPr>
          <w:i/>
          <w:sz w:val="23"/>
        </w:rPr>
        <w:t xml:space="preserve">The full law can be accessed here </w:t>
      </w:r>
      <w:r w:rsidRPr="00073128">
        <w:rPr>
          <w:i/>
          <w:color w:val="0000FF" w:themeColor="hyperlink"/>
          <w:sz w:val="23"/>
          <w:u w:val="single"/>
        </w:rPr>
        <w:t>https://ecfr.io/Title-34/se34.2.300_1320</w:t>
      </w:r>
      <w:bookmarkStart w:id="0" w:name="_GoBack"/>
      <w:bookmarkEnd w:id="0"/>
    </w:p>
    <w:p w:rsidR="000441DA" w:rsidRDefault="000441DA">
      <w:pPr>
        <w:pStyle w:val="BodyText"/>
        <w:ind w:right="1055" w:firstLine="71"/>
      </w:pPr>
    </w:p>
    <w:p w:rsidR="000441DA" w:rsidRDefault="00073128">
      <w:pPr>
        <w:pStyle w:val="BodyText"/>
        <w:ind w:right="976"/>
      </w:pPr>
      <w:r>
        <w:t xml:space="preserve">Annual goals are statements that describe what a student with a disability </w:t>
      </w:r>
      <w:proofErr w:type="gramStart"/>
      <w:r>
        <w:t>can reasonably be expected</w:t>
      </w:r>
      <w:proofErr w:type="gramEnd"/>
      <w:r>
        <w:t xml:space="preserve"> to accomplish within a 12-month period of the student's program. Measurable annual goals include timeframe, conditions, behavior, and criterion. </w:t>
      </w:r>
      <w:r>
        <w:rPr>
          <w:spacing w:val="-3"/>
        </w:rPr>
        <w:t xml:space="preserve">The </w:t>
      </w:r>
      <w:r>
        <w:t>annua</w:t>
      </w:r>
      <w:r>
        <w:t xml:space="preserve">l goals, which </w:t>
      </w:r>
      <w:proofErr w:type="gramStart"/>
      <w:r>
        <w:t>are updated</w:t>
      </w:r>
      <w:proofErr w:type="gramEnd"/>
      <w:r>
        <w:t xml:space="preserve"> annually, are designed to support improvement in academic and functional skills necessary to achieve post- secondary goals. The IEP </w:t>
      </w:r>
      <w:proofErr w:type="gramStart"/>
      <w:r>
        <w:t>should be aligned</w:t>
      </w:r>
      <w:proofErr w:type="gramEnd"/>
      <w:r>
        <w:t xml:space="preserve"> so that for each post-secondary goal there should </w:t>
      </w:r>
      <w:r>
        <w:rPr>
          <w:spacing w:val="-3"/>
        </w:rPr>
        <w:t xml:space="preserve">be </w:t>
      </w:r>
      <w:r>
        <w:t>an annual goal that will h</w:t>
      </w:r>
      <w:r>
        <w:t>elp the student make progress towards the post-secondary goals.</w:t>
      </w:r>
    </w:p>
    <w:p w:rsidR="000441DA" w:rsidRDefault="00073128">
      <w:pPr>
        <w:pStyle w:val="BodyText"/>
        <w:ind w:right="1176"/>
      </w:pPr>
      <w:r>
        <w:t>Here is a comparison between Annual Transition Goals in an IEP and Post-Secondary Goals.</w:t>
      </w:r>
    </w:p>
    <w:p w:rsidR="000441DA" w:rsidRDefault="00073128">
      <w:pPr>
        <w:pStyle w:val="BodyText"/>
        <w:tabs>
          <w:tab w:val="left" w:pos="5149"/>
        </w:tabs>
        <w:spacing w:before="118"/>
        <w:ind w:left="675"/>
        <w:rPr>
          <w:b/>
        </w:rPr>
      </w:pPr>
      <w:r>
        <w:rPr>
          <w:b/>
          <w:color w:val="00B050"/>
        </w:rPr>
        <w:t>Annual Transition Goals</w:t>
      </w:r>
      <w:r>
        <w:rPr>
          <w:b/>
          <w:color w:val="00B050"/>
          <w:spacing w:val="-9"/>
        </w:rPr>
        <w:t xml:space="preserve"> </w:t>
      </w:r>
      <w:r>
        <w:rPr>
          <w:b/>
          <w:color w:val="00B050"/>
        </w:rPr>
        <w:t>in</w:t>
      </w:r>
      <w:r>
        <w:rPr>
          <w:b/>
          <w:color w:val="00B050"/>
          <w:spacing w:val="-3"/>
        </w:rPr>
        <w:t xml:space="preserve"> </w:t>
      </w:r>
      <w:r>
        <w:rPr>
          <w:b/>
          <w:color w:val="00B050"/>
        </w:rPr>
        <w:t>IEP</w:t>
      </w:r>
      <w:r>
        <w:rPr>
          <w:b/>
          <w:color w:val="00B050"/>
        </w:rPr>
        <w:tab/>
        <w:t>Post-Secondary Goals</w:t>
      </w:r>
    </w:p>
    <w:p w:rsidR="000441DA" w:rsidRDefault="000441DA">
      <w:pPr>
        <w:pStyle w:val="BodyText"/>
        <w:spacing w:before="2"/>
        <w:ind w:left="0"/>
        <w:rPr>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771"/>
      </w:tblGrid>
      <w:tr w:rsidR="000441DA">
        <w:trPr>
          <w:trHeight w:val="2735"/>
        </w:trPr>
        <w:tc>
          <w:tcPr>
            <w:tcW w:w="4675" w:type="dxa"/>
          </w:tcPr>
          <w:p w:rsidR="000441DA" w:rsidRDefault="00073128">
            <w:pPr>
              <w:pStyle w:val="TableParagraph"/>
              <w:numPr>
                <w:ilvl w:val="0"/>
                <w:numId w:val="2"/>
              </w:numPr>
              <w:tabs>
                <w:tab w:val="left" w:pos="827"/>
                <w:tab w:val="left" w:pos="828"/>
              </w:tabs>
              <w:spacing w:line="269" w:lineRule="exact"/>
              <w:rPr>
                <w:b/>
              </w:rPr>
            </w:pPr>
            <w:r>
              <w:t>Targeted to be completed</w:t>
            </w:r>
            <w:r>
              <w:rPr>
                <w:spacing w:val="-9"/>
              </w:rPr>
              <w:t xml:space="preserve"> </w:t>
            </w:r>
            <w:r>
              <w:rPr>
                <w:b/>
                <w:u w:val="single"/>
              </w:rPr>
              <w:t>during</w:t>
            </w:r>
          </w:p>
          <w:p w:rsidR="000441DA" w:rsidRDefault="00073128">
            <w:pPr>
              <w:pStyle w:val="TableParagraph"/>
              <w:spacing w:line="259" w:lineRule="exact"/>
              <w:ind w:left="827" w:firstLine="0"/>
            </w:pPr>
            <w:r>
              <w:t>school services</w:t>
            </w:r>
          </w:p>
          <w:p w:rsidR="000441DA" w:rsidRDefault="00073128">
            <w:pPr>
              <w:pStyle w:val="TableParagraph"/>
              <w:numPr>
                <w:ilvl w:val="0"/>
                <w:numId w:val="2"/>
              </w:numPr>
              <w:tabs>
                <w:tab w:val="left" w:pos="827"/>
                <w:tab w:val="left" w:pos="828"/>
              </w:tabs>
              <w:spacing w:line="267" w:lineRule="exact"/>
            </w:pPr>
            <w:r>
              <w:t>Measurable</w:t>
            </w:r>
          </w:p>
          <w:p w:rsidR="000441DA" w:rsidRDefault="00073128">
            <w:pPr>
              <w:pStyle w:val="TableParagraph"/>
              <w:numPr>
                <w:ilvl w:val="0"/>
                <w:numId w:val="2"/>
              </w:numPr>
              <w:tabs>
                <w:tab w:val="left" w:pos="828"/>
                <w:tab w:val="left" w:pos="829"/>
              </w:tabs>
              <w:spacing w:line="267" w:lineRule="exact"/>
              <w:ind w:left="828"/>
            </w:pPr>
            <w:r>
              <w:t>Based on student’s</w:t>
            </w:r>
            <w:r>
              <w:rPr>
                <w:spacing w:val="-5"/>
              </w:rPr>
              <w:t xml:space="preserve"> </w:t>
            </w:r>
            <w:r>
              <w:t>needs</w:t>
            </w:r>
          </w:p>
          <w:p w:rsidR="000441DA" w:rsidRDefault="00073128">
            <w:pPr>
              <w:pStyle w:val="TableParagraph"/>
              <w:numPr>
                <w:ilvl w:val="0"/>
                <w:numId w:val="2"/>
              </w:numPr>
              <w:tabs>
                <w:tab w:val="left" w:pos="828"/>
                <w:tab w:val="left" w:pos="829"/>
              </w:tabs>
              <w:spacing w:line="268" w:lineRule="exact"/>
              <w:ind w:left="828"/>
            </w:pPr>
            <w:r>
              <w:t>Written in areas of</w:t>
            </w:r>
            <w:r>
              <w:rPr>
                <w:spacing w:val="-5"/>
              </w:rPr>
              <w:t xml:space="preserve"> </w:t>
            </w:r>
            <w:r>
              <w:t>:</w:t>
            </w:r>
          </w:p>
          <w:p w:rsidR="000441DA" w:rsidRDefault="00073128">
            <w:pPr>
              <w:pStyle w:val="TableParagraph"/>
              <w:numPr>
                <w:ilvl w:val="1"/>
                <w:numId w:val="2"/>
              </w:numPr>
              <w:tabs>
                <w:tab w:val="left" w:pos="1548"/>
                <w:tab w:val="left" w:pos="1549"/>
              </w:tabs>
              <w:spacing w:line="268" w:lineRule="exact"/>
              <w:ind w:hanging="360"/>
            </w:pPr>
            <w:r>
              <w:t>Academic</w:t>
            </w:r>
          </w:p>
          <w:p w:rsidR="000441DA" w:rsidRDefault="00073128">
            <w:pPr>
              <w:pStyle w:val="TableParagraph"/>
              <w:numPr>
                <w:ilvl w:val="1"/>
                <w:numId w:val="2"/>
              </w:numPr>
              <w:tabs>
                <w:tab w:val="left" w:pos="1548"/>
                <w:tab w:val="left" w:pos="1549"/>
              </w:tabs>
              <w:spacing w:line="268" w:lineRule="exact"/>
              <w:ind w:hanging="360"/>
            </w:pPr>
            <w:r>
              <w:t>Functional</w:t>
            </w:r>
          </w:p>
          <w:p w:rsidR="000441DA" w:rsidRDefault="00073128">
            <w:pPr>
              <w:pStyle w:val="TableParagraph"/>
              <w:numPr>
                <w:ilvl w:val="1"/>
                <w:numId w:val="2"/>
              </w:numPr>
              <w:tabs>
                <w:tab w:val="left" w:pos="1548"/>
                <w:tab w:val="left" w:pos="1549"/>
              </w:tabs>
              <w:ind w:right="652" w:hanging="360"/>
            </w:pPr>
            <w:r>
              <w:t>Align to meet the post- secondary</w:t>
            </w:r>
            <w:r>
              <w:rPr>
                <w:spacing w:val="-5"/>
              </w:rPr>
              <w:t xml:space="preserve"> </w:t>
            </w:r>
            <w:r>
              <w:t>goals</w:t>
            </w:r>
          </w:p>
        </w:tc>
        <w:tc>
          <w:tcPr>
            <w:tcW w:w="4771" w:type="dxa"/>
          </w:tcPr>
          <w:p w:rsidR="000441DA" w:rsidRDefault="00073128">
            <w:pPr>
              <w:pStyle w:val="TableParagraph"/>
              <w:numPr>
                <w:ilvl w:val="0"/>
                <w:numId w:val="1"/>
              </w:numPr>
              <w:tabs>
                <w:tab w:val="left" w:pos="755"/>
                <w:tab w:val="left" w:pos="756"/>
              </w:tabs>
              <w:spacing w:line="269" w:lineRule="exact"/>
              <w:ind w:hanging="432"/>
              <w:rPr>
                <w:b/>
              </w:rPr>
            </w:pPr>
            <w:r>
              <w:t>Won’t be achieved until</w:t>
            </w:r>
            <w:r>
              <w:rPr>
                <w:spacing w:val="-1"/>
              </w:rPr>
              <w:t xml:space="preserve"> </w:t>
            </w:r>
            <w:r>
              <w:rPr>
                <w:b/>
                <w:u w:val="single"/>
              </w:rPr>
              <w:t>after</w:t>
            </w:r>
          </w:p>
          <w:p w:rsidR="000441DA" w:rsidRDefault="00073128">
            <w:pPr>
              <w:pStyle w:val="TableParagraph"/>
              <w:spacing w:line="259" w:lineRule="exact"/>
              <w:ind w:left="756" w:firstLine="0"/>
            </w:pPr>
            <w:r>
              <w:t>exiting school services</w:t>
            </w:r>
          </w:p>
          <w:p w:rsidR="000441DA" w:rsidRDefault="00073128">
            <w:pPr>
              <w:pStyle w:val="TableParagraph"/>
              <w:numPr>
                <w:ilvl w:val="0"/>
                <w:numId w:val="1"/>
              </w:numPr>
              <w:tabs>
                <w:tab w:val="left" w:pos="828"/>
                <w:tab w:val="left" w:pos="829"/>
              </w:tabs>
              <w:spacing w:line="267" w:lineRule="exact"/>
            </w:pPr>
            <w:r>
              <w:t>Measureable</w:t>
            </w:r>
          </w:p>
          <w:p w:rsidR="000441DA" w:rsidRDefault="00073128">
            <w:pPr>
              <w:pStyle w:val="TableParagraph"/>
              <w:numPr>
                <w:ilvl w:val="0"/>
                <w:numId w:val="1"/>
              </w:numPr>
              <w:tabs>
                <w:tab w:val="left" w:pos="828"/>
                <w:tab w:val="left" w:pos="829"/>
              </w:tabs>
              <w:ind w:right="916"/>
            </w:pPr>
            <w:r>
              <w:t>Based on age of appropriate transition</w:t>
            </w:r>
            <w:r>
              <w:rPr>
                <w:spacing w:val="-2"/>
              </w:rPr>
              <w:t xml:space="preserve"> </w:t>
            </w:r>
            <w:r>
              <w:t>assessment</w:t>
            </w:r>
          </w:p>
          <w:p w:rsidR="000441DA" w:rsidRDefault="00073128">
            <w:pPr>
              <w:pStyle w:val="TableParagraph"/>
              <w:numPr>
                <w:ilvl w:val="0"/>
                <w:numId w:val="1"/>
              </w:numPr>
              <w:tabs>
                <w:tab w:val="left" w:pos="828"/>
                <w:tab w:val="left" w:pos="829"/>
              </w:tabs>
              <w:spacing w:line="267" w:lineRule="exact"/>
            </w:pPr>
            <w:r>
              <w:t>Written in areas</w:t>
            </w:r>
            <w:r>
              <w:rPr>
                <w:spacing w:val="-5"/>
              </w:rPr>
              <w:t xml:space="preserve"> </w:t>
            </w:r>
            <w:r>
              <w:t>of:</w:t>
            </w:r>
          </w:p>
          <w:p w:rsidR="000441DA" w:rsidRDefault="00073128">
            <w:pPr>
              <w:pStyle w:val="TableParagraph"/>
              <w:numPr>
                <w:ilvl w:val="1"/>
                <w:numId w:val="1"/>
              </w:numPr>
              <w:tabs>
                <w:tab w:val="left" w:pos="1548"/>
                <w:tab w:val="left" w:pos="1549"/>
              </w:tabs>
              <w:ind w:hanging="360"/>
            </w:pPr>
            <w:r>
              <w:t>Education/Training</w:t>
            </w:r>
          </w:p>
          <w:p w:rsidR="000441DA" w:rsidRDefault="00073128">
            <w:pPr>
              <w:pStyle w:val="TableParagraph"/>
              <w:numPr>
                <w:ilvl w:val="1"/>
                <w:numId w:val="1"/>
              </w:numPr>
              <w:tabs>
                <w:tab w:val="left" w:pos="1548"/>
                <w:tab w:val="left" w:pos="1549"/>
              </w:tabs>
              <w:ind w:hanging="360"/>
            </w:pPr>
            <w:r>
              <w:t>Employment</w:t>
            </w:r>
          </w:p>
          <w:p w:rsidR="000441DA" w:rsidRDefault="00073128">
            <w:pPr>
              <w:pStyle w:val="TableParagraph"/>
              <w:numPr>
                <w:ilvl w:val="1"/>
                <w:numId w:val="1"/>
              </w:numPr>
              <w:tabs>
                <w:tab w:val="left" w:pos="1548"/>
                <w:tab w:val="left" w:pos="1549"/>
              </w:tabs>
              <w:ind w:right="539" w:hanging="360"/>
            </w:pPr>
            <w:r>
              <w:t>Independent living skills, when</w:t>
            </w:r>
            <w:r>
              <w:rPr>
                <w:spacing w:val="1"/>
              </w:rPr>
              <w:t xml:space="preserve"> </w:t>
            </w:r>
            <w:r>
              <w:t>appropriate</w:t>
            </w:r>
          </w:p>
        </w:tc>
      </w:tr>
    </w:tbl>
    <w:p w:rsidR="000441DA" w:rsidRDefault="00073128">
      <w:pPr>
        <w:pStyle w:val="Heading1"/>
        <w:tabs>
          <w:tab w:val="left" w:pos="7717"/>
        </w:tabs>
        <w:spacing w:before="204"/>
      </w:pPr>
      <w:r>
        <w:rPr>
          <w:noProof/>
          <w:position w:val="-10"/>
        </w:rPr>
        <w:drawing>
          <wp:inline distT="0" distB="0" distL="0" distR="0">
            <wp:extent cx="316864" cy="27431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316864" cy="274313"/>
                    </a:xfrm>
                    <a:prstGeom prst="rect">
                      <a:avLst/>
                    </a:prstGeom>
                  </pic:spPr>
                </pic:pic>
              </a:graphicData>
            </a:graphic>
          </wp:inline>
        </w:drawing>
      </w:r>
      <w:r>
        <w:rPr>
          <w:rFonts w:ascii="Times New Roman"/>
          <w:spacing w:val="-13"/>
          <w:sz w:val="20"/>
        </w:rPr>
        <w:t xml:space="preserve"> </w:t>
      </w:r>
      <w:r>
        <w:rPr>
          <w:color w:val="1EB050"/>
          <w:spacing w:val="-34"/>
          <w:u w:val="thick" w:color="1EB050"/>
        </w:rPr>
        <w:t xml:space="preserve"> </w:t>
      </w:r>
      <w:r>
        <w:rPr>
          <w:color w:val="1EB050"/>
          <w:u w:val="thick" w:color="1EB050"/>
        </w:rPr>
        <w:t>Checklists &amp;</w:t>
      </w:r>
      <w:r>
        <w:rPr>
          <w:color w:val="1EB050"/>
          <w:spacing w:val="-5"/>
          <w:u w:val="thick" w:color="1EB050"/>
        </w:rPr>
        <w:t xml:space="preserve"> </w:t>
      </w:r>
      <w:r>
        <w:rPr>
          <w:color w:val="1EB050"/>
          <w:u w:val="thick" w:color="1EB050"/>
        </w:rPr>
        <w:t>Tips</w:t>
      </w:r>
      <w:r>
        <w:rPr>
          <w:color w:val="1EB050"/>
          <w:u w:val="thick" w:color="1EB050"/>
        </w:rPr>
        <w:tab/>
      </w:r>
    </w:p>
    <w:p w:rsidR="000441DA" w:rsidRDefault="00073128">
      <w:pPr>
        <w:pStyle w:val="BodyText"/>
        <w:spacing w:before="137"/>
        <w:ind w:right="999"/>
      </w:pPr>
      <w:r>
        <w:rPr>
          <w:b/>
        </w:rPr>
        <w:t xml:space="preserve">SMART Goal Development </w:t>
      </w:r>
      <w:r>
        <w:t xml:space="preserve">– After reviewing your present levels (academic and functional performance) develop </w:t>
      </w:r>
      <w:r>
        <w:rPr>
          <w:b/>
        </w:rPr>
        <w:t>S.M.A.R.T. (</w:t>
      </w:r>
      <w:r>
        <w:rPr>
          <w:b/>
          <w:i/>
        </w:rPr>
        <w:t xml:space="preserve">Specific, Measurable, Attainable, </w:t>
      </w:r>
      <w:r>
        <w:rPr>
          <w:b/>
          <w:i/>
        </w:rPr>
        <w:t>Relevant, Time- Specific</w:t>
      </w:r>
      <w:r>
        <w:rPr>
          <w:b/>
        </w:rPr>
        <w:t xml:space="preserve">) </w:t>
      </w:r>
      <w:r>
        <w:t>goals that address the individual needs of the student. You will need to do some evaluation of what is most important or what skills build upon each other in order to select the more appropriate goals.</w:t>
      </w:r>
    </w:p>
    <w:p w:rsidR="000441DA" w:rsidRDefault="00073128">
      <w:pPr>
        <w:spacing w:before="204"/>
        <w:ind w:left="133"/>
        <w:rPr>
          <w:rFonts w:ascii="Franklin Gothic Medium"/>
          <w:sz w:val="40"/>
        </w:rPr>
      </w:pPr>
      <w:r>
        <w:pict>
          <v:line id="_x0000_s1026" style="position:absolute;left:0;text-align:left;z-index:-251658240;mso-wrap-distance-left:0;mso-wrap-distance-right:0;mso-position-horizontal-relative:page" from="106.25pt,36.7pt" to="459.35pt,36.7pt" strokecolor="#1eb050" strokeweight="2.25pt">
            <w10:wrap type="topAndBottom" anchorx="page"/>
          </v:line>
        </w:pict>
      </w:r>
      <w:r>
        <w:rPr>
          <w:noProof/>
          <w:position w:val="-10"/>
        </w:rPr>
        <w:drawing>
          <wp:inline distT="0" distB="0" distL="0" distR="0">
            <wp:extent cx="283208" cy="27426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283208" cy="274269"/>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rPr>
          <w:rFonts w:ascii="Franklin Gothic Medium"/>
          <w:color w:val="1EB050"/>
          <w:sz w:val="40"/>
        </w:rPr>
        <w:t>Links to</w:t>
      </w:r>
      <w:r>
        <w:rPr>
          <w:rFonts w:ascii="Franklin Gothic Medium"/>
          <w:color w:val="1EB050"/>
          <w:spacing w:val="-3"/>
          <w:sz w:val="40"/>
        </w:rPr>
        <w:t xml:space="preserve"> </w:t>
      </w:r>
      <w:r>
        <w:rPr>
          <w:rFonts w:ascii="Franklin Gothic Medium"/>
          <w:color w:val="1EB050"/>
          <w:sz w:val="40"/>
        </w:rPr>
        <w:t>Resources</w:t>
      </w:r>
    </w:p>
    <w:p w:rsidR="000441DA" w:rsidRDefault="00073128">
      <w:pPr>
        <w:pStyle w:val="BodyText"/>
        <w:spacing w:before="27"/>
        <w:ind w:left="120"/>
      </w:pPr>
      <w:r>
        <w:t>SM</w:t>
      </w:r>
      <w:r>
        <w:t xml:space="preserve">ART goal components and explanation </w:t>
      </w:r>
      <w:hyperlink r:id="rId9">
        <w:r>
          <w:rPr>
            <w:color w:val="0563C1"/>
            <w:u w:val="single" w:color="0563C1"/>
          </w:rPr>
          <w:t>https://is.gd/bncT0F</w:t>
        </w:r>
      </w:hyperlink>
    </w:p>
    <w:p w:rsidR="000441DA" w:rsidRDefault="00073128">
      <w:pPr>
        <w:pStyle w:val="BodyText"/>
        <w:spacing w:before="118"/>
        <w:ind w:left="4641" w:right="5319"/>
        <w:jc w:val="center"/>
      </w:pPr>
      <w:r>
        <w:t>57</w:t>
      </w:r>
    </w:p>
    <w:sectPr w:rsidR="000441DA">
      <w:type w:val="continuous"/>
      <w:pgSz w:w="12240" w:h="15840"/>
      <w:pgMar w:top="1320" w:right="6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294B"/>
    <w:multiLevelType w:val="hybridMultilevel"/>
    <w:tmpl w:val="C1E60A20"/>
    <w:lvl w:ilvl="0" w:tplc="AF4A5C02">
      <w:numFmt w:val="bullet"/>
      <w:lvlText w:val=""/>
      <w:lvlJc w:val="left"/>
      <w:pPr>
        <w:ind w:left="827" w:hanging="360"/>
      </w:pPr>
      <w:rPr>
        <w:rFonts w:ascii="Symbol" w:eastAsia="Symbol" w:hAnsi="Symbol" w:cs="Symbol" w:hint="default"/>
        <w:w w:val="100"/>
        <w:sz w:val="22"/>
        <w:szCs w:val="22"/>
      </w:rPr>
    </w:lvl>
    <w:lvl w:ilvl="1" w:tplc="4CCA304C">
      <w:numFmt w:val="bullet"/>
      <w:lvlText w:val=""/>
      <w:lvlJc w:val="left"/>
      <w:pPr>
        <w:ind w:left="1548" w:hanging="361"/>
      </w:pPr>
      <w:rPr>
        <w:rFonts w:ascii="Symbol" w:eastAsia="Symbol" w:hAnsi="Symbol" w:cs="Symbol" w:hint="default"/>
        <w:w w:val="100"/>
        <w:sz w:val="22"/>
        <w:szCs w:val="22"/>
      </w:rPr>
    </w:lvl>
    <w:lvl w:ilvl="2" w:tplc="60B440F4">
      <w:numFmt w:val="bullet"/>
      <w:lvlText w:val="•"/>
      <w:lvlJc w:val="left"/>
      <w:pPr>
        <w:ind w:left="1887" w:hanging="361"/>
      </w:pPr>
      <w:rPr>
        <w:rFonts w:hint="default"/>
      </w:rPr>
    </w:lvl>
    <w:lvl w:ilvl="3" w:tplc="4D1CC16E">
      <w:numFmt w:val="bullet"/>
      <w:lvlText w:val="•"/>
      <w:lvlJc w:val="left"/>
      <w:pPr>
        <w:ind w:left="2234" w:hanging="361"/>
      </w:pPr>
      <w:rPr>
        <w:rFonts w:hint="default"/>
      </w:rPr>
    </w:lvl>
    <w:lvl w:ilvl="4" w:tplc="44D04892">
      <w:numFmt w:val="bullet"/>
      <w:lvlText w:val="•"/>
      <w:lvlJc w:val="left"/>
      <w:pPr>
        <w:ind w:left="2581" w:hanging="361"/>
      </w:pPr>
      <w:rPr>
        <w:rFonts w:hint="default"/>
      </w:rPr>
    </w:lvl>
    <w:lvl w:ilvl="5" w:tplc="96B06532">
      <w:numFmt w:val="bullet"/>
      <w:lvlText w:val="•"/>
      <w:lvlJc w:val="left"/>
      <w:pPr>
        <w:ind w:left="2928" w:hanging="361"/>
      </w:pPr>
      <w:rPr>
        <w:rFonts w:hint="default"/>
      </w:rPr>
    </w:lvl>
    <w:lvl w:ilvl="6" w:tplc="AAF87AD6">
      <w:numFmt w:val="bullet"/>
      <w:lvlText w:val="•"/>
      <w:lvlJc w:val="left"/>
      <w:pPr>
        <w:ind w:left="3276" w:hanging="361"/>
      </w:pPr>
      <w:rPr>
        <w:rFonts w:hint="default"/>
      </w:rPr>
    </w:lvl>
    <w:lvl w:ilvl="7" w:tplc="CCC05720">
      <w:numFmt w:val="bullet"/>
      <w:lvlText w:val="•"/>
      <w:lvlJc w:val="left"/>
      <w:pPr>
        <w:ind w:left="3623" w:hanging="361"/>
      </w:pPr>
      <w:rPr>
        <w:rFonts w:hint="default"/>
      </w:rPr>
    </w:lvl>
    <w:lvl w:ilvl="8" w:tplc="D4A45562">
      <w:numFmt w:val="bullet"/>
      <w:lvlText w:val="•"/>
      <w:lvlJc w:val="left"/>
      <w:pPr>
        <w:ind w:left="3970" w:hanging="361"/>
      </w:pPr>
      <w:rPr>
        <w:rFonts w:hint="default"/>
      </w:rPr>
    </w:lvl>
  </w:abstractNum>
  <w:abstractNum w:abstractNumId="1" w15:restartNumberingAfterBreak="0">
    <w:nsid w:val="4B926A99"/>
    <w:multiLevelType w:val="hybridMultilevel"/>
    <w:tmpl w:val="559A803C"/>
    <w:lvl w:ilvl="0" w:tplc="13CCD1EE">
      <w:numFmt w:val="bullet"/>
      <w:lvlText w:val=""/>
      <w:lvlJc w:val="left"/>
      <w:pPr>
        <w:ind w:left="828" w:hanging="360"/>
      </w:pPr>
      <w:rPr>
        <w:rFonts w:ascii="Symbol" w:eastAsia="Symbol" w:hAnsi="Symbol" w:cs="Symbol" w:hint="default"/>
        <w:w w:val="100"/>
        <w:sz w:val="22"/>
        <w:szCs w:val="22"/>
      </w:rPr>
    </w:lvl>
    <w:lvl w:ilvl="1" w:tplc="230CD594">
      <w:numFmt w:val="bullet"/>
      <w:lvlText w:val=""/>
      <w:lvlJc w:val="left"/>
      <w:pPr>
        <w:ind w:left="1548" w:hanging="361"/>
      </w:pPr>
      <w:rPr>
        <w:rFonts w:ascii="Wingdings" w:eastAsia="Wingdings" w:hAnsi="Wingdings" w:cs="Wingdings" w:hint="default"/>
        <w:w w:val="100"/>
        <w:sz w:val="22"/>
        <w:szCs w:val="22"/>
      </w:rPr>
    </w:lvl>
    <w:lvl w:ilvl="2" w:tplc="4C3CF338">
      <w:numFmt w:val="bullet"/>
      <w:lvlText w:val="•"/>
      <w:lvlJc w:val="left"/>
      <w:pPr>
        <w:ind w:left="1897" w:hanging="361"/>
      </w:pPr>
      <w:rPr>
        <w:rFonts w:hint="default"/>
      </w:rPr>
    </w:lvl>
    <w:lvl w:ilvl="3" w:tplc="7116C178">
      <w:numFmt w:val="bullet"/>
      <w:lvlText w:val="•"/>
      <w:lvlJc w:val="left"/>
      <w:pPr>
        <w:ind w:left="2255" w:hanging="361"/>
      </w:pPr>
      <w:rPr>
        <w:rFonts w:hint="default"/>
      </w:rPr>
    </w:lvl>
    <w:lvl w:ilvl="4" w:tplc="BE566320">
      <w:numFmt w:val="bullet"/>
      <w:lvlText w:val="•"/>
      <w:lvlJc w:val="left"/>
      <w:pPr>
        <w:ind w:left="2613" w:hanging="361"/>
      </w:pPr>
      <w:rPr>
        <w:rFonts w:hint="default"/>
      </w:rPr>
    </w:lvl>
    <w:lvl w:ilvl="5" w:tplc="57DAA1B2">
      <w:numFmt w:val="bullet"/>
      <w:lvlText w:val="•"/>
      <w:lvlJc w:val="left"/>
      <w:pPr>
        <w:ind w:left="2971" w:hanging="361"/>
      </w:pPr>
      <w:rPr>
        <w:rFonts w:hint="default"/>
      </w:rPr>
    </w:lvl>
    <w:lvl w:ilvl="6" w:tplc="CD469102">
      <w:numFmt w:val="bullet"/>
      <w:lvlText w:val="•"/>
      <w:lvlJc w:val="left"/>
      <w:pPr>
        <w:ind w:left="3329" w:hanging="361"/>
      </w:pPr>
      <w:rPr>
        <w:rFonts w:hint="default"/>
      </w:rPr>
    </w:lvl>
    <w:lvl w:ilvl="7" w:tplc="8BFA668A">
      <w:numFmt w:val="bullet"/>
      <w:lvlText w:val="•"/>
      <w:lvlJc w:val="left"/>
      <w:pPr>
        <w:ind w:left="3687" w:hanging="361"/>
      </w:pPr>
      <w:rPr>
        <w:rFonts w:hint="default"/>
      </w:rPr>
    </w:lvl>
    <w:lvl w:ilvl="8" w:tplc="43208A9C">
      <w:numFmt w:val="bullet"/>
      <w:lvlText w:val="•"/>
      <w:lvlJc w:val="left"/>
      <w:pPr>
        <w:ind w:left="4045" w:hanging="361"/>
      </w:pPr>
      <w:rPr>
        <w:rFonts w:hint="default"/>
      </w:rPr>
    </w:lvl>
  </w:abstractNum>
  <w:abstractNum w:abstractNumId="2" w15:restartNumberingAfterBreak="0">
    <w:nsid w:val="717C603A"/>
    <w:multiLevelType w:val="hybridMultilevel"/>
    <w:tmpl w:val="B40826F2"/>
    <w:lvl w:ilvl="0" w:tplc="8ACE8994">
      <w:start w:val="2"/>
      <w:numFmt w:val="lowerLetter"/>
      <w:lvlText w:val="(%1)"/>
      <w:lvlJc w:val="left"/>
      <w:pPr>
        <w:ind w:left="120" w:hanging="351"/>
      </w:pPr>
      <w:rPr>
        <w:rFonts w:ascii="Lucida Sans" w:eastAsia="Lucida Sans" w:hAnsi="Lucida Sans" w:cs="Lucida Sans" w:hint="default"/>
        <w:spacing w:val="-3"/>
        <w:w w:val="100"/>
        <w:sz w:val="22"/>
        <w:szCs w:val="22"/>
      </w:rPr>
    </w:lvl>
    <w:lvl w:ilvl="1" w:tplc="7344663E">
      <w:start w:val="1"/>
      <w:numFmt w:val="decimal"/>
      <w:lvlText w:val="(%2)"/>
      <w:lvlJc w:val="left"/>
      <w:pPr>
        <w:ind w:left="120" w:hanging="351"/>
      </w:pPr>
      <w:rPr>
        <w:rFonts w:ascii="Lucida Sans" w:eastAsia="Lucida Sans" w:hAnsi="Lucida Sans" w:cs="Lucida Sans" w:hint="default"/>
        <w:spacing w:val="-3"/>
        <w:w w:val="100"/>
        <w:sz w:val="22"/>
        <w:szCs w:val="22"/>
      </w:rPr>
    </w:lvl>
    <w:lvl w:ilvl="2" w:tplc="E9E6A69C">
      <w:numFmt w:val="bullet"/>
      <w:lvlText w:val=""/>
      <w:lvlJc w:val="left"/>
      <w:pPr>
        <w:ind w:left="840" w:hanging="360"/>
      </w:pPr>
      <w:rPr>
        <w:rFonts w:ascii="Symbol" w:eastAsia="Symbol" w:hAnsi="Symbol" w:cs="Symbol" w:hint="default"/>
        <w:w w:val="100"/>
        <w:sz w:val="24"/>
        <w:szCs w:val="24"/>
      </w:rPr>
    </w:lvl>
    <w:lvl w:ilvl="3" w:tplc="3E9A16BC">
      <w:numFmt w:val="bullet"/>
      <w:lvlText w:val="•"/>
      <w:lvlJc w:val="left"/>
      <w:pPr>
        <w:ind w:left="2968" w:hanging="360"/>
      </w:pPr>
      <w:rPr>
        <w:rFonts w:hint="default"/>
      </w:rPr>
    </w:lvl>
    <w:lvl w:ilvl="4" w:tplc="88F009EA">
      <w:numFmt w:val="bullet"/>
      <w:lvlText w:val="•"/>
      <w:lvlJc w:val="left"/>
      <w:pPr>
        <w:ind w:left="4033" w:hanging="360"/>
      </w:pPr>
      <w:rPr>
        <w:rFonts w:hint="default"/>
      </w:rPr>
    </w:lvl>
    <w:lvl w:ilvl="5" w:tplc="B644EEC6">
      <w:numFmt w:val="bullet"/>
      <w:lvlText w:val="•"/>
      <w:lvlJc w:val="left"/>
      <w:pPr>
        <w:ind w:left="5097" w:hanging="360"/>
      </w:pPr>
      <w:rPr>
        <w:rFonts w:hint="default"/>
      </w:rPr>
    </w:lvl>
    <w:lvl w:ilvl="6" w:tplc="B88EAF22">
      <w:numFmt w:val="bullet"/>
      <w:lvlText w:val="•"/>
      <w:lvlJc w:val="left"/>
      <w:pPr>
        <w:ind w:left="6162" w:hanging="360"/>
      </w:pPr>
      <w:rPr>
        <w:rFonts w:hint="default"/>
      </w:rPr>
    </w:lvl>
    <w:lvl w:ilvl="7" w:tplc="3BE4EF3A">
      <w:numFmt w:val="bullet"/>
      <w:lvlText w:val="•"/>
      <w:lvlJc w:val="left"/>
      <w:pPr>
        <w:ind w:left="7226" w:hanging="360"/>
      </w:pPr>
      <w:rPr>
        <w:rFonts w:hint="default"/>
      </w:rPr>
    </w:lvl>
    <w:lvl w:ilvl="8" w:tplc="13505542">
      <w:numFmt w:val="bullet"/>
      <w:lvlText w:val="•"/>
      <w:lvlJc w:val="left"/>
      <w:pPr>
        <w:ind w:left="8291"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441DA"/>
    <w:rsid w:val="000441DA"/>
    <w:rsid w:val="0007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CE3732E-616B-4726-B0B7-03653681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spacing w:before="129"/>
      <w:ind w:left="120"/>
      <w:outlineLvl w:val="0"/>
    </w:pPr>
    <w:rPr>
      <w:rFonts w:ascii="Franklin Gothic Medium" w:eastAsia="Franklin Gothic Medium" w:hAnsi="Franklin Gothic Medium" w:cs="Franklin Gothic Medium"/>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s.gd/bncT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1965</Characters>
  <Application>Microsoft Office Word</Application>
  <DocSecurity>0</DocSecurity>
  <Lines>16</Lines>
  <Paragraphs>4</Paragraphs>
  <ScaleCrop>false</ScaleCrop>
  <Company>Western Oregon University</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Windows User</cp:lastModifiedBy>
  <cp:revision>2</cp:revision>
  <dcterms:created xsi:type="dcterms:W3CDTF">2018-10-05T19:04:00Z</dcterms:created>
  <dcterms:modified xsi:type="dcterms:W3CDTF">2018-10-05T19:06:00Z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Acrobat PDFMaker 18 for Word</vt:lpwstr>
  </property>
  <property fmtid="{D5CDD505-2E9C-101B-9397-08002B2CF9AE}" pid="4" name="LastSaved">
    <vt:filetime>2018-10-05T00:00:00Z</vt:filetime>
  </property>
</Properties>
</file>