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5" w:rsidRDefault="00B35A75">
      <w:pPr>
        <w:pStyle w:val="BodyText"/>
        <w:ind w:left="-255"/>
        <w:rPr>
          <w:rFonts w:ascii="Times New Roman"/>
          <w:sz w:val="20"/>
        </w:rPr>
      </w:pPr>
      <w:bookmarkStart w:id="0" w:name="_GoBack"/>
      <w:bookmarkEnd w:id="0"/>
    </w:p>
    <w:p w:rsidR="00DA305F" w:rsidRPr="00DA305F" w:rsidRDefault="00DA305F" w:rsidP="00DA305F">
      <w:pPr>
        <w:spacing w:before="240"/>
        <w:ind w:left="1094"/>
        <w:rPr>
          <w:b/>
          <w:sz w:val="28"/>
        </w:rPr>
      </w:pPr>
      <w:r w:rsidRPr="00DA305F">
        <w:rPr>
          <w:b/>
          <w:sz w:val="28"/>
        </w:rPr>
        <w:t>INVITE REPRESENTATIVES OF PARTICIPATING AGENCIES</w:t>
      </w:r>
    </w:p>
    <w:p w:rsidR="00B35A75" w:rsidRDefault="00B35A75">
      <w:pPr>
        <w:pStyle w:val="BodyText"/>
        <w:spacing w:before="1"/>
        <w:rPr>
          <w:rFonts w:ascii="Times New Roman"/>
          <w:sz w:val="20"/>
        </w:rPr>
      </w:pPr>
    </w:p>
    <w:p w:rsidR="00B35A75" w:rsidRDefault="00C45871">
      <w:pPr>
        <w:spacing w:before="94" w:line="304" w:lineRule="auto"/>
        <w:ind w:left="119" w:right="178"/>
        <w:rPr>
          <w:b/>
        </w:rPr>
      </w:pPr>
      <w:r>
        <w:rPr>
          <w:b/>
        </w:rPr>
        <w:t xml:space="preserve">Participating Agencies </w:t>
      </w:r>
      <w:proofErr w:type="gramStart"/>
      <w:r>
        <w:t>should be invited</w:t>
      </w:r>
      <w:proofErr w:type="gramEnd"/>
      <w:r>
        <w:t xml:space="preserve"> to the IEP team meeting with the prior consent of the </w:t>
      </w:r>
      <w:r>
        <w:rPr>
          <w:spacing w:val="-3"/>
        </w:rPr>
        <w:t xml:space="preserve">parent </w:t>
      </w:r>
      <w:r>
        <w:t xml:space="preserve">(or student who has reached the age of majority). When a representative of a participating agency that is likely to be responsible for providing or paying for transition services </w:t>
      </w:r>
      <w:proofErr w:type="gramStart"/>
      <w:r>
        <w:t xml:space="preserve">is </w:t>
      </w:r>
      <w:r>
        <w:rPr>
          <w:spacing w:val="-3"/>
        </w:rPr>
        <w:t>identified</w:t>
      </w:r>
      <w:proofErr w:type="gramEnd"/>
      <w:r>
        <w:rPr>
          <w:spacing w:val="-3"/>
        </w:rPr>
        <w:t xml:space="preserve">, </w:t>
      </w:r>
      <w:r>
        <w:rPr>
          <w:b/>
        </w:rPr>
        <w:t>they should be invited to the first IEP meeting where transition services will be discussed.</w:t>
      </w:r>
    </w:p>
    <w:p w:rsidR="00B35A75" w:rsidRDefault="00C45871">
      <w:pPr>
        <w:pStyle w:val="BodyText"/>
        <w:spacing w:line="304" w:lineRule="auto"/>
        <w:ind w:left="119" w:right="217"/>
      </w:pPr>
      <w:r>
        <w:t xml:space="preserve">As VR, ODDs and ODE work to improve policies and systems for employment outcomes for students at the state level, schools are working to improve relationships with community partner agencies to ensure these agencies become an integral part of the transition IEP process for the students planning to access services after school. For more </w:t>
      </w:r>
      <w:proofErr w:type="gramStart"/>
      <w:r>
        <w:t>information</w:t>
      </w:r>
      <w:proofErr w:type="gramEnd"/>
      <w:r>
        <w:t xml:space="preserve"> contact your local Transition Network Facilitator.</w:t>
      </w:r>
    </w:p>
    <w:p w:rsidR="00B35A75" w:rsidRDefault="00B35A75">
      <w:pPr>
        <w:pStyle w:val="BodyText"/>
      </w:pPr>
    </w:p>
    <w:p w:rsidR="00B35A75" w:rsidRDefault="00C45871">
      <w:pPr>
        <w:ind w:left="643"/>
        <w:rPr>
          <w:b/>
          <w:sz w:val="28"/>
        </w:rPr>
      </w:pPr>
      <w:r>
        <w:rPr>
          <w:b/>
          <w:sz w:val="28"/>
        </w:rPr>
        <w:t>Linking youth to agencies while in school make connections easier.</w:t>
      </w:r>
    </w:p>
    <w:p w:rsidR="00B35A75" w:rsidRDefault="00B35A75">
      <w:pPr>
        <w:pStyle w:val="BodyText"/>
        <w:rPr>
          <w:b/>
          <w:sz w:val="20"/>
        </w:rPr>
      </w:pPr>
    </w:p>
    <w:p w:rsidR="00B35A75" w:rsidRDefault="00B35A75">
      <w:pPr>
        <w:pStyle w:val="BodyText"/>
        <w:spacing w:before="3"/>
        <w:rPr>
          <w:b/>
          <w:sz w:val="24"/>
        </w:rPr>
      </w:pPr>
    </w:p>
    <w:tbl>
      <w:tblPr>
        <w:tblW w:w="0" w:type="auto"/>
        <w:tblInd w:w="766" w:type="dxa"/>
        <w:tblLayout w:type="fixed"/>
        <w:tblCellMar>
          <w:left w:w="0" w:type="dxa"/>
          <w:right w:w="0" w:type="dxa"/>
        </w:tblCellMar>
        <w:tblLook w:val="01E0" w:firstRow="1" w:lastRow="1" w:firstColumn="1" w:lastColumn="1" w:noHBand="0" w:noVBand="0"/>
      </w:tblPr>
      <w:tblGrid>
        <w:gridCol w:w="865"/>
        <w:gridCol w:w="8451"/>
      </w:tblGrid>
      <w:tr w:rsidR="00B35A75">
        <w:trPr>
          <w:trHeight w:val="499"/>
        </w:trPr>
        <w:tc>
          <w:tcPr>
            <w:tcW w:w="865" w:type="dxa"/>
            <w:vMerge w:val="restart"/>
            <w:shd w:val="clear" w:color="auto" w:fill="C0504D"/>
          </w:tcPr>
          <w:p w:rsidR="00B35A75" w:rsidRDefault="00B35A75">
            <w:pPr>
              <w:pStyle w:val="TableParagraph"/>
              <w:rPr>
                <w:b/>
                <w:sz w:val="30"/>
              </w:rPr>
            </w:pPr>
          </w:p>
          <w:p w:rsidR="00B35A75" w:rsidRDefault="00B35A75">
            <w:pPr>
              <w:pStyle w:val="TableParagraph"/>
              <w:rPr>
                <w:b/>
                <w:sz w:val="30"/>
              </w:rPr>
            </w:pPr>
          </w:p>
          <w:p w:rsidR="00B35A75" w:rsidRDefault="00B35A75">
            <w:pPr>
              <w:pStyle w:val="TableParagraph"/>
              <w:rPr>
                <w:b/>
                <w:sz w:val="30"/>
              </w:rPr>
            </w:pPr>
          </w:p>
          <w:p w:rsidR="00B35A75" w:rsidRDefault="00B35A75" w:rsidP="00C45871">
            <w:pPr>
              <w:pStyle w:val="TableParagraph"/>
              <w:spacing w:before="4"/>
              <w:jc w:val="center"/>
              <w:rPr>
                <w:b/>
                <w:sz w:val="33"/>
              </w:rPr>
            </w:pPr>
          </w:p>
          <w:p w:rsidR="00B35A75" w:rsidRDefault="00C45871" w:rsidP="00C45871">
            <w:pPr>
              <w:pStyle w:val="TableParagraph"/>
              <w:spacing w:line="328" w:lineRule="auto"/>
              <w:ind w:left="339" w:right="336" w:firstLine="7"/>
              <w:jc w:val="center"/>
              <w:rPr>
                <w:b/>
                <w:sz w:val="28"/>
              </w:rPr>
            </w:pPr>
            <w:r>
              <w:rPr>
                <w:b/>
                <w:color w:val="FFFFFF"/>
                <w:sz w:val="28"/>
              </w:rPr>
              <w:t>T I P S</w:t>
            </w:r>
          </w:p>
        </w:tc>
        <w:tc>
          <w:tcPr>
            <w:tcW w:w="8451" w:type="dxa"/>
            <w:tcBorders>
              <w:top w:val="dotted" w:sz="24" w:space="0" w:color="C0504D"/>
              <w:right w:val="dotted" w:sz="34" w:space="0" w:color="C0504D"/>
            </w:tcBorders>
          </w:tcPr>
          <w:p w:rsidR="00B35A75" w:rsidRDefault="00C45871">
            <w:pPr>
              <w:pStyle w:val="TableParagraph"/>
              <w:spacing w:before="100"/>
              <w:ind w:left="79"/>
              <w:rPr>
                <w:b/>
                <w:sz w:val="24"/>
              </w:rPr>
            </w:pPr>
            <w:r>
              <w:rPr>
                <w:b/>
                <w:sz w:val="24"/>
              </w:rPr>
              <w:t>Guidance from ODE for Agency Attendance</w:t>
            </w:r>
          </w:p>
        </w:tc>
      </w:tr>
      <w:tr w:rsidR="00B35A75">
        <w:trPr>
          <w:trHeight w:val="4029"/>
        </w:trPr>
        <w:tc>
          <w:tcPr>
            <w:tcW w:w="865" w:type="dxa"/>
            <w:vMerge/>
            <w:tcBorders>
              <w:top w:val="nil"/>
            </w:tcBorders>
            <w:shd w:val="clear" w:color="auto" w:fill="C0504D"/>
          </w:tcPr>
          <w:p w:rsidR="00B35A75" w:rsidRDefault="00B35A75">
            <w:pPr>
              <w:rPr>
                <w:sz w:val="2"/>
                <w:szCs w:val="2"/>
              </w:rPr>
            </w:pPr>
          </w:p>
        </w:tc>
        <w:tc>
          <w:tcPr>
            <w:tcW w:w="8451" w:type="dxa"/>
            <w:tcBorders>
              <w:bottom w:val="dotted" w:sz="24" w:space="0" w:color="C0504D"/>
              <w:right w:val="dotted" w:sz="34" w:space="0" w:color="C0504D"/>
            </w:tcBorders>
          </w:tcPr>
          <w:p w:rsidR="00B35A75" w:rsidRDefault="00C45871">
            <w:pPr>
              <w:pStyle w:val="TableParagraph"/>
              <w:numPr>
                <w:ilvl w:val="0"/>
                <w:numId w:val="1"/>
              </w:numPr>
              <w:tabs>
                <w:tab w:val="left" w:pos="699"/>
              </w:tabs>
              <w:spacing w:before="116" w:line="304" w:lineRule="auto"/>
              <w:ind w:right="480"/>
              <w:rPr>
                <w:rFonts w:ascii="Wingdings"/>
                <w:color w:val="C0504D"/>
              </w:rPr>
            </w:pPr>
            <w:r>
              <w:t>An IEP Team should decide which students on their caseload should have agencies represented at their</w:t>
            </w:r>
            <w:r>
              <w:rPr>
                <w:spacing w:val="-9"/>
              </w:rPr>
              <w:t xml:space="preserve"> </w:t>
            </w:r>
            <w:r>
              <w:t>IEP.</w:t>
            </w:r>
          </w:p>
          <w:p w:rsidR="00B35A75" w:rsidRDefault="00C45871">
            <w:pPr>
              <w:pStyle w:val="TableParagraph"/>
              <w:numPr>
                <w:ilvl w:val="0"/>
                <w:numId w:val="1"/>
              </w:numPr>
              <w:tabs>
                <w:tab w:val="left" w:pos="699"/>
              </w:tabs>
              <w:spacing w:before="78" w:line="304" w:lineRule="auto"/>
              <w:ind w:right="78"/>
              <w:rPr>
                <w:rFonts w:ascii="Wingdings" w:hAnsi="Wingdings"/>
                <w:color w:val="C0504D"/>
              </w:rPr>
            </w:pPr>
            <w:r>
              <w:t>Call parents to obtain required parental consent before inviting</w:t>
            </w:r>
            <w:r>
              <w:rPr>
                <w:spacing w:val="-38"/>
              </w:rPr>
              <w:t xml:space="preserve"> </w:t>
            </w:r>
            <w:r>
              <w:t xml:space="preserve">representatives from other participating agencies to attend an IEP Team meeting. The representatives of these agencies </w:t>
            </w:r>
            <w:r>
              <w:rPr>
                <w:color w:val="18376A"/>
              </w:rPr>
              <w:t xml:space="preserve">cannot </w:t>
            </w:r>
            <w:r>
              <w:t>access all the student’s records unless the parent gives consent for such a</w:t>
            </w:r>
            <w:r>
              <w:rPr>
                <w:spacing w:val="-8"/>
              </w:rPr>
              <w:t xml:space="preserve"> </w:t>
            </w:r>
            <w:r>
              <w:t>disclosure.</w:t>
            </w:r>
          </w:p>
          <w:p w:rsidR="00B35A75" w:rsidRDefault="00C45871">
            <w:pPr>
              <w:pStyle w:val="TableParagraph"/>
              <w:numPr>
                <w:ilvl w:val="0"/>
                <w:numId w:val="1"/>
              </w:numPr>
              <w:tabs>
                <w:tab w:val="left" w:pos="699"/>
              </w:tabs>
              <w:spacing w:before="73" w:line="304" w:lineRule="auto"/>
              <w:ind w:right="382"/>
              <w:rPr>
                <w:rFonts w:ascii="Wingdings"/>
                <w:color w:val="C0504D"/>
              </w:rPr>
            </w:pPr>
            <w:r>
              <w:t>Schedule IEP meetings with other agency representatives early in the year. Agency representatives have full schedules and may not be able to attend meetings with a short</w:t>
            </w:r>
            <w:r>
              <w:rPr>
                <w:spacing w:val="-1"/>
              </w:rPr>
              <w:t xml:space="preserve"> </w:t>
            </w:r>
            <w:r>
              <w:t>notice.</w:t>
            </w:r>
          </w:p>
          <w:p w:rsidR="00B35A75" w:rsidRDefault="00C45871">
            <w:pPr>
              <w:pStyle w:val="TableParagraph"/>
              <w:numPr>
                <w:ilvl w:val="0"/>
                <w:numId w:val="1"/>
              </w:numPr>
              <w:tabs>
                <w:tab w:val="left" w:pos="699"/>
              </w:tabs>
              <w:spacing w:before="78" w:line="304" w:lineRule="auto"/>
              <w:ind w:right="198"/>
              <w:rPr>
                <w:rFonts w:ascii="Wingdings"/>
                <w:color w:val="C0504D"/>
                <w:sz w:val="20"/>
              </w:rPr>
            </w:pPr>
            <w:r>
              <w:t>If you do not have an established relationship with your local VR counselor or other agency representative, contact you</w:t>
            </w:r>
            <w:r>
              <w:rPr>
                <w:color w:val="18376A"/>
              </w:rPr>
              <w:t xml:space="preserve">r </w:t>
            </w:r>
            <w:r>
              <w:t>TNF for help in this</w:t>
            </w:r>
            <w:r>
              <w:rPr>
                <w:spacing w:val="-14"/>
              </w:rPr>
              <w:t xml:space="preserve"> </w:t>
            </w:r>
            <w:r>
              <w:t>area.</w:t>
            </w:r>
          </w:p>
        </w:tc>
      </w:tr>
    </w:tbl>
    <w:p w:rsidR="00B35A75" w:rsidRDefault="00B35A75">
      <w:pPr>
        <w:pStyle w:val="BodyText"/>
        <w:spacing w:before="4"/>
        <w:rPr>
          <w:b/>
          <w:sz w:val="16"/>
        </w:rPr>
      </w:pPr>
    </w:p>
    <w:p w:rsidR="00B35A75" w:rsidRDefault="00C45871">
      <w:pPr>
        <w:spacing w:before="94" w:line="302" w:lineRule="auto"/>
        <w:ind w:left="120" w:right="178"/>
      </w:pPr>
      <w:r>
        <w:rPr>
          <w:b/>
        </w:rPr>
        <w:t xml:space="preserve">Confidentiality. </w:t>
      </w:r>
      <w:r>
        <w:t>Getting parental permission to attend the IEP meeting was included in IDEA 2004 specifically to address issues related to the confidentiality of information</w:t>
      </w:r>
      <w:r>
        <w:rPr>
          <w:i/>
        </w:rPr>
        <w:t>. A public agency should be required to obtain parental consent before inviting representatives from other participating agencies to attend an IEP Team meeting. The representatives of these agencies should not have access to all the student’s records unless the parent gives consent for such a disclosure</w:t>
      </w:r>
      <w:r>
        <w:t>.</w:t>
      </w:r>
    </w:p>
    <w:p w:rsidR="00B35A75" w:rsidRDefault="00B35A75">
      <w:pPr>
        <w:pStyle w:val="BodyText"/>
        <w:spacing w:before="4"/>
        <w:rPr>
          <w:sz w:val="28"/>
        </w:rPr>
      </w:pPr>
    </w:p>
    <w:p w:rsidR="00B35A75" w:rsidRDefault="00DA305F">
      <w:pPr>
        <w:pStyle w:val="BodyText"/>
        <w:spacing w:before="1" w:line="302" w:lineRule="auto"/>
        <w:ind w:left="119" w:right="191"/>
      </w:pPr>
      <w:r>
        <w:pict>
          <v:group id="_x0000_s1027" style="position:absolute;left:0;text-align:left;margin-left:1in;margin-top:155.65pt;width:468pt;height:3.6pt;z-index:1096;mso-position-horizontal-relative:page" coordorigin="1440,3113" coordsize="9360,72">
            <v:line id="_x0000_s1030" style="position:absolute" from="1440,3171" to="10781,3171" strokecolor="#8db3e2" strokeweight="1.44pt"/>
            <v:line id="_x0000_s1029" style="position:absolute" from="1440,3120" to="10781,3120" strokecolor="#8db3e2" strokeweight=".72pt"/>
            <v:rect id="_x0000_s1028" style="position:absolute;left:10780;top:3156;width:20;height:29" fillcolor="#8db3e2" stroked="f"/>
            <w10:wrap anchorx="page"/>
          </v:group>
        </w:pict>
      </w:r>
      <w:r w:rsidR="00C45871">
        <w:rPr>
          <w:b/>
        </w:rPr>
        <w:t xml:space="preserve">Participating agency failure to meet transition objectives. </w:t>
      </w:r>
      <w:r w:rsidR="00C45871">
        <w:t xml:space="preserve">If a participating agency, other than the public agency, fails to provide the transition services described in the IEP, the school district must reconvene the IEP Team to </w:t>
      </w:r>
      <w:r w:rsidR="00C45871">
        <w:rPr>
          <w:b/>
          <w:i/>
        </w:rPr>
        <w:t xml:space="preserve">identify alternative strategies </w:t>
      </w:r>
      <w:r w:rsidR="00C45871">
        <w:t xml:space="preserve">to meet the transition objectives for the student set out in the IEP. This does not mean that the school district must provide the identical services written on the IEP; it means the IEP Team must reconvene to identify alternative strategies to </w:t>
      </w:r>
      <w:proofErr w:type="gramStart"/>
      <w:r w:rsidR="00C45871">
        <w:t>meet</w:t>
      </w:r>
      <w:proofErr w:type="gramEnd"/>
      <w:r w:rsidR="00C45871">
        <w:t xml:space="preserve"> the transition objectives.</w:t>
      </w:r>
    </w:p>
    <w:p w:rsidR="00B35A75" w:rsidRDefault="00B35A75">
      <w:pPr>
        <w:pStyle w:val="BodyText"/>
        <w:rPr>
          <w:sz w:val="20"/>
        </w:rPr>
      </w:pPr>
    </w:p>
    <w:p w:rsidR="00B35A75" w:rsidRDefault="00B35A75">
      <w:pPr>
        <w:pStyle w:val="BodyText"/>
        <w:rPr>
          <w:sz w:val="20"/>
        </w:rPr>
      </w:pPr>
    </w:p>
    <w:p w:rsidR="00B35A75" w:rsidRDefault="00B35A75">
      <w:pPr>
        <w:pStyle w:val="BodyText"/>
        <w:rPr>
          <w:sz w:val="20"/>
        </w:rPr>
      </w:pPr>
    </w:p>
    <w:p w:rsidR="00B35A75" w:rsidRDefault="00DA305F">
      <w:pPr>
        <w:pStyle w:val="BodyText"/>
        <w:spacing w:before="1"/>
        <w:rPr>
          <w:sz w:val="16"/>
        </w:rPr>
      </w:pPr>
      <w:r>
        <w:pict>
          <v:shapetype id="_x0000_t202" coordsize="21600,21600" o:spt="202" path="m,l,21600r21600,l21600,xe">
            <v:stroke joinstyle="miter"/>
            <v:path gradientshapeok="t" o:connecttype="rect"/>
          </v:shapetype>
          <v:shape id="_x0000_s1026" type="#_x0000_t202" style="position:absolute;margin-left:1in;margin-top:10.5pt;width:468pt;height:15pt;z-index:1072;mso-wrap-distance-left:0;mso-wrap-distance-right:0;mso-position-horizontal-relative:page" fillcolor="#8db3e2" stroked="f">
            <v:textbox inset="0,0,0,0">
              <w:txbxContent>
                <w:p w:rsidR="00B35A75" w:rsidRDefault="00C45871">
                  <w:pPr>
                    <w:spacing w:before="17"/>
                    <w:ind w:right="120"/>
                    <w:jc w:val="right"/>
                    <w:rPr>
                      <w:b/>
                      <w:sz w:val="24"/>
                    </w:rPr>
                  </w:pPr>
                  <w:r>
                    <w:rPr>
                      <w:b/>
                      <w:color w:val="FFFFFF"/>
                      <w:w w:val="95"/>
                      <w:sz w:val="24"/>
                    </w:rPr>
                    <w:t>37</w:t>
                  </w:r>
                </w:p>
              </w:txbxContent>
            </v:textbox>
            <w10:wrap type="topAndBottom" anchorx="page"/>
          </v:shape>
        </w:pict>
      </w:r>
    </w:p>
    <w:sectPr w:rsidR="00B35A75">
      <w:type w:val="continuous"/>
      <w:pgSz w:w="12240" w:h="15840"/>
      <w:pgMar w:top="660" w:right="6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2FC"/>
    <w:multiLevelType w:val="hybridMultilevel"/>
    <w:tmpl w:val="049668CA"/>
    <w:lvl w:ilvl="0" w:tplc="9392F3F0">
      <w:numFmt w:val="bullet"/>
      <w:lvlText w:val=""/>
      <w:lvlJc w:val="left"/>
      <w:pPr>
        <w:ind w:left="698" w:hanging="360"/>
      </w:pPr>
      <w:rPr>
        <w:rFonts w:hint="default"/>
        <w:w w:val="100"/>
      </w:rPr>
    </w:lvl>
    <w:lvl w:ilvl="1" w:tplc="F5B86008">
      <w:numFmt w:val="bullet"/>
      <w:lvlText w:val="•"/>
      <w:lvlJc w:val="left"/>
      <w:pPr>
        <w:ind w:left="1470" w:hanging="360"/>
      </w:pPr>
      <w:rPr>
        <w:rFonts w:hint="default"/>
      </w:rPr>
    </w:lvl>
    <w:lvl w:ilvl="2" w:tplc="AC908210">
      <w:numFmt w:val="bullet"/>
      <w:lvlText w:val="•"/>
      <w:lvlJc w:val="left"/>
      <w:pPr>
        <w:ind w:left="2241" w:hanging="360"/>
      </w:pPr>
      <w:rPr>
        <w:rFonts w:hint="default"/>
      </w:rPr>
    </w:lvl>
    <w:lvl w:ilvl="3" w:tplc="1BEEE460">
      <w:numFmt w:val="bullet"/>
      <w:lvlText w:val="•"/>
      <w:lvlJc w:val="left"/>
      <w:pPr>
        <w:ind w:left="3012" w:hanging="360"/>
      </w:pPr>
      <w:rPr>
        <w:rFonts w:hint="default"/>
      </w:rPr>
    </w:lvl>
    <w:lvl w:ilvl="4" w:tplc="F76C782E">
      <w:numFmt w:val="bullet"/>
      <w:lvlText w:val="•"/>
      <w:lvlJc w:val="left"/>
      <w:pPr>
        <w:ind w:left="3783" w:hanging="360"/>
      </w:pPr>
      <w:rPr>
        <w:rFonts w:hint="default"/>
      </w:rPr>
    </w:lvl>
    <w:lvl w:ilvl="5" w:tplc="EE303888">
      <w:numFmt w:val="bullet"/>
      <w:lvlText w:val="•"/>
      <w:lvlJc w:val="left"/>
      <w:pPr>
        <w:ind w:left="4554" w:hanging="360"/>
      </w:pPr>
      <w:rPr>
        <w:rFonts w:hint="default"/>
      </w:rPr>
    </w:lvl>
    <w:lvl w:ilvl="6" w:tplc="15FCAA68">
      <w:numFmt w:val="bullet"/>
      <w:lvlText w:val="•"/>
      <w:lvlJc w:val="left"/>
      <w:pPr>
        <w:ind w:left="5325" w:hanging="360"/>
      </w:pPr>
      <w:rPr>
        <w:rFonts w:hint="default"/>
      </w:rPr>
    </w:lvl>
    <w:lvl w:ilvl="7" w:tplc="C5FC08B6">
      <w:numFmt w:val="bullet"/>
      <w:lvlText w:val="•"/>
      <w:lvlJc w:val="left"/>
      <w:pPr>
        <w:ind w:left="6095" w:hanging="360"/>
      </w:pPr>
      <w:rPr>
        <w:rFonts w:hint="default"/>
      </w:rPr>
    </w:lvl>
    <w:lvl w:ilvl="8" w:tplc="701436BC">
      <w:numFmt w:val="bullet"/>
      <w:lvlText w:val="•"/>
      <w:lvlJc w:val="left"/>
      <w:pPr>
        <w:ind w:left="68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35A75"/>
    <w:rsid w:val="00B35A75"/>
    <w:rsid w:val="00C45871"/>
    <w:rsid w:val="00DA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AF7F1E"/>
  <w15:docId w15:val="{09CBADA3-CCA7-484D-8D71-76355E7A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2301</Characters>
  <Application>Microsoft Office Word</Application>
  <DocSecurity>0</DocSecurity>
  <Lines>19</Lines>
  <Paragraphs>5</Paragraphs>
  <ScaleCrop>false</ScaleCrop>
  <Company>Western Oregon University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Windows User</cp:lastModifiedBy>
  <cp:revision>3</cp:revision>
  <dcterms:created xsi:type="dcterms:W3CDTF">2018-01-29T23:22:00Z</dcterms:created>
  <dcterms:modified xsi:type="dcterms:W3CDTF">2018-10-09T22:46:00Z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18 for Word</vt:lpwstr>
  </property>
  <property fmtid="{D5CDD505-2E9C-101B-9397-08002B2CF9AE}" pid="4" name="LastSaved">
    <vt:filetime>2018-01-29T00:00:00Z</vt:filetime>
  </property>
</Properties>
</file>