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1C6" w:rsidRDefault="00C419AB">
      <w:pPr>
        <w:tabs>
          <w:tab w:val="left" w:pos="9686"/>
        </w:tabs>
        <w:spacing w:before="78"/>
        <w:ind w:left="560"/>
        <w:rPr>
          <w:rFonts w:ascii="Franklin Gothic Medium"/>
          <w:sz w:val="48"/>
        </w:rPr>
      </w:pPr>
      <w:r>
        <w:rPr>
          <w:rFonts w:ascii="Franklin Gothic Medium"/>
          <w:color w:val="005490"/>
          <w:sz w:val="48"/>
        </w:rPr>
        <w:t>Transition</w:t>
      </w:r>
      <w:r>
        <w:rPr>
          <w:rFonts w:ascii="Franklin Gothic Medium"/>
          <w:color w:val="005490"/>
          <w:spacing w:val="-7"/>
          <w:sz w:val="48"/>
        </w:rPr>
        <w:t xml:space="preserve"> </w:t>
      </w:r>
      <w:r>
        <w:rPr>
          <w:rFonts w:ascii="Franklin Gothic Medium"/>
          <w:color w:val="005490"/>
          <w:sz w:val="48"/>
        </w:rPr>
        <w:t>Services</w:t>
      </w:r>
      <w:r>
        <w:rPr>
          <w:rFonts w:ascii="Franklin Gothic Medium"/>
          <w:color w:val="005490"/>
          <w:sz w:val="48"/>
        </w:rPr>
        <w:tab/>
      </w:r>
      <w:r>
        <w:rPr>
          <w:rFonts w:ascii="Franklin Gothic Medium"/>
          <w:noProof/>
          <w:color w:val="005490"/>
          <w:position w:val="-17"/>
          <w:sz w:val="48"/>
        </w:rPr>
        <w:drawing>
          <wp:inline distT="0" distB="0" distL="0" distR="0">
            <wp:extent cx="597533" cy="3657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7533" cy="365747"/>
                    </a:xfrm>
                    <a:prstGeom prst="rect">
                      <a:avLst/>
                    </a:prstGeom>
                  </pic:spPr>
                </pic:pic>
              </a:graphicData>
            </a:graphic>
          </wp:inline>
        </w:drawing>
      </w:r>
    </w:p>
    <w:p w:rsidR="001251C6" w:rsidRDefault="00C419AB">
      <w:pPr>
        <w:tabs>
          <w:tab w:val="left" w:pos="8277"/>
        </w:tabs>
        <w:spacing w:before="174"/>
        <w:ind w:left="735"/>
        <w:rPr>
          <w:rFonts w:ascii="Franklin Gothic Medium"/>
          <w:sz w:val="40"/>
        </w:rPr>
      </w:pPr>
      <w:r>
        <w:rPr>
          <w:noProof/>
          <w:position w:val="-18"/>
        </w:rPr>
        <w:drawing>
          <wp:inline distT="0" distB="0" distL="0" distR="0">
            <wp:extent cx="269874" cy="27422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69874" cy="274229"/>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Pr>
          <w:rFonts w:ascii="Franklin Gothic Medium"/>
          <w:color w:val="1EB050"/>
          <w:sz w:val="40"/>
          <w:u w:val="thick" w:color="1EB050"/>
        </w:rPr>
        <w:t>Law &amp;</w:t>
      </w:r>
      <w:r>
        <w:rPr>
          <w:rFonts w:ascii="Franklin Gothic Medium"/>
          <w:color w:val="1EB050"/>
          <w:spacing w:val="-7"/>
          <w:sz w:val="40"/>
          <w:u w:val="thick" w:color="1EB050"/>
        </w:rPr>
        <w:t xml:space="preserve"> </w:t>
      </w:r>
      <w:r>
        <w:rPr>
          <w:rFonts w:ascii="Franklin Gothic Medium"/>
          <w:color w:val="1EB050"/>
          <w:sz w:val="40"/>
          <w:u w:val="thick" w:color="1EB050"/>
        </w:rPr>
        <w:t>Guidelines</w:t>
      </w:r>
      <w:r>
        <w:rPr>
          <w:rFonts w:ascii="Franklin Gothic Medium"/>
          <w:color w:val="1EB050"/>
          <w:sz w:val="40"/>
          <w:u w:val="thick" w:color="1EB050"/>
        </w:rPr>
        <w:tab/>
      </w:r>
    </w:p>
    <w:p w:rsidR="001251C6" w:rsidRDefault="00C419AB">
      <w:pPr>
        <w:pStyle w:val="BodyText"/>
        <w:tabs>
          <w:tab w:val="left" w:pos="3074"/>
        </w:tabs>
        <w:spacing w:before="175"/>
        <w:ind w:left="704"/>
      </w:pPr>
      <w:r>
        <w:rPr>
          <w:b/>
          <w:u w:val="single"/>
        </w:rPr>
        <w:t>IDEA</w:t>
      </w:r>
      <w:r>
        <w:rPr>
          <w:b/>
          <w:spacing w:val="-5"/>
          <w:u w:val="single"/>
        </w:rPr>
        <w:t xml:space="preserve"> </w:t>
      </w:r>
      <w:r>
        <w:rPr>
          <w:b/>
          <w:u w:val="single"/>
        </w:rPr>
        <w:t>Regulations</w:t>
      </w:r>
      <w:r>
        <w:rPr>
          <w:b/>
        </w:rPr>
        <w:tab/>
      </w:r>
      <w:r>
        <w:t>4 CFR 300.320, 4 CFR</w:t>
      </w:r>
      <w:r>
        <w:rPr>
          <w:spacing w:val="65"/>
        </w:rPr>
        <w:t xml:space="preserve"> </w:t>
      </w:r>
      <w:r>
        <w:t>300.43</w:t>
      </w:r>
    </w:p>
    <w:p w:rsidR="001251C6" w:rsidRDefault="00C419AB">
      <w:pPr>
        <w:pStyle w:val="ListParagraph"/>
        <w:numPr>
          <w:ilvl w:val="0"/>
          <w:numId w:val="3"/>
        </w:numPr>
        <w:tabs>
          <w:tab w:val="left" w:pos="1055"/>
        </w:tabs>
        <w:spacing w:before="21"/>
        <w:ind w:hanging="350"/>
      </w:pPr>
      <w:r>
        <w:t>Transition</w:t>
      </w:r>
      <w:r>
        <w:rPr>
          <w:spacing w:val="-2"/>
        </w:rPr>
        <w:t xml:space="preserve"> </w:t>
      </w:r>
      <w:r>
        <w:t>services.</w:t>
      </w:r>
    </w:p>
    <w:p w:rsidR="001251C6" w:rsidRDefault="00C419AB">
      <w:pPr>
        <w:pStyle w:val="BodyText"/>
        <w:spacing w:before="20" w:line="259" w:lineRule="auto"/>
        <w:ind w:left="704" w:right="1804"/>
      </w:pPr>
      <w:r>
        <w:t>Beginning not later than the first IEP to be in effect when the child turns 16, or younger if determined appropriate by the IEP Team, and updated annually, thereafter, the IEP must include—</w:t>
      </w:r>
    </w:p>
    <w:p w:rsidR="001251C6" w:rsidRDefault="00C419AB">
      <w:pPr>
        <w:pStyle w:val="ListParagraph"/>
        <w:numPr>
          <w:ilvl w:val="1"/>
          <w:numId w:val="3"/>
        </w:numPr>
        <w:tabs>
          <w:tab w:val="left" w:pos="1631"/>
        </w:tabs>
        <w:spacing w:line="259" w:lineRule="auto"/>
        <w:ind w:right="1365" w:firstLine="576"/>
      </w:pPr>
      <w:r>
        <w:t>Appropriate measurable postsecondary goals based upon age appropri</w:t>
      </w:r>
      <w:r>
        <w:t>ate transition assessments related to training, education, employment, and, where appropriate, independent living skills;</w:t>
      </w:r>
      <w:r>
        <w:rPr>
          <w:spacing w:val="-3"/>
        </w:rPr>
        <w:t xml:space="preserve"> </w:t>
      </w:r>
      <w:r>
        <w:t>and</w:t>
      </w:r>
    </w:p>
    <w:p w:rsidR="001251C6" w:rsidRDefault="00C419AB">
      <w:pPr>
        <w:pStyle w:val="ListParagraph"/>
        <w:numPr>
          <w:ilvl w:val="1"/>
          <w:numId w:val="3"/>
        </w:numPr>
        <w:tabs>
          <w:tab w:val="left" w:pos="1633"/>
        </w:tabs>
        <w:spacing w:line="259" w:lineRule="auto"/>
        <w:ind w:right="1619" w:firstLine="576"/>
      </w:pPr>
      <w:r>
        <w:t>The transition services (including courses of study) needed to assist the child in reaching those</w:t>
      </w:r>
      <w:r>
        <w:rPr>
          <w:spacing w:val="-10"/>
        </w:rPr>
        <w:t xml:space="preserve"> </w:t>
      </w:r>
      <w:r>
        <w:t>goals.</w:t>
      </w:r>
    </w:p>
    <w:p w:rsidR="001251C6" w:rsidRDefault="00C419AB">
      <w:pPr>
        <w:pStyle w:val="ListParagraph"/>
        <w:numPr>
          <w:ilvl w:val="0"/>
          <w:numId w:val="2"/>
        </w:numPr>
        <w:tabs>
          <w:tab w:val="left" w:pos="1614"/>
        </w:tabs>
        <w:ind w:right="2164" w:firstLine="420"/>
      </w:pPr>
      <w:r>
        <w:t>Transition services means</w:t>
      </w:r>
      <w:r>
        <w:t xml:space="preserve"> a coordinated </w:t>
      </w:r>
      <w:r>
        <w:rPr>
          <w:spacing w:val="-3"/>
        </w:rPr>
        <w:t xml:space="preserve">set </w:t>
      </w:r>
      <w:r>
        <w:t>of activities for a child with a disability</w:t>
      </w:r>
      <w:r>
        <w:rPr>
          <w:spacing w:val="-7"/>
        </w:rPr>
        <w:t xml:space="preserve"> </w:t>
      </w:r>
      <w:r>
        <w:t>that—</w:t>
      </w:r>
    </w:p>
    <w:p w:rsidR="001251C6" w:rsidRDefault="00C419AB">
      <w:pPr>
        <w:pStyle w:val="ListParagraph"/>
        <w:numPr>
          <w:ilvl w:val="1"/>
          <w:numId w:val="2"/>
        </w:numPr>
        <w:tabs>
          <w:tab w:val="left" w:pos="1631"/>
        </w:tabs>
        <w:ind w:right="2518" w:firstLine="420"/>
      </w:pPr>
      <w:r>
        <w:t>Is designed to be within a results- oriented process, that is focused on improving the academic and functional achievement of the child with a disability to facilitate the child’s movement from school to post-school activities, including postsecondary educ</w:t>
      </w:r>
      <w:r>
        <w:t>ation, vocational education, integrated employment (including supported employment), continuing and adult education, adult services, independent living, or community</w:t>
      </w:r>
      <w:r>
        <w:rPr>
          <w:spacing w:val="-7"/>
        </w:rPr>
        <w:t xml:space="preserve"> </w:t>
      </w:r>
      <w:r>
        <w:t>participation;</w:t>
      </w:r>
    </w:p>
    <w:p w:rsidR="001251C6" w:rsidRDefault="00C419AB">
      <w:pPr>
        <w:pStyle w:val="ListParagraph"/>
        <w:numPr>
          <w:ilvl w:val="1"/>
          <w:numId w:val="2"/>
        </w:numPr>
        <w:tabs>
          <w:tab w:val="left" w:pos="1630"/>
        </w:tabs>
        <w:ind w:right="2462" w:firstLine="420"/>
      </w:pPr>
      <w:r>
        <w:t>Is based on the individual child’s needs, taking into account the child’s s</w:t>
      </w:r>
      <w:r>
        <w:t>trengths, preferences, and interests; and</w:t>
      </w:r>
      <w:r>
        <w:rPr>
          <w:spacing w:val="-13"/>
        </w:rPr>
        <w:t xml:space="preserve"> </w:t>
      </w:r>
      <w:r>
        <w:t>includes—</w:t>
      </w:r>
    </w:p>
    <w:p w:rsidR="001251C6" w:rsidRDefault="00C419AB">
      <w:pPr>
        <w:pStyle w:val="ListParagraph"/>
        <w:numPr>
          <w:ilvl w:val="2"/>
          <w:numId w:val="2"/>
        </w:numPr>
        <w:tabs>
          <w:tab w:val="left" w:pos="1974"/>
        </w:tabs>
      </w:pPr>
      <w:r>
        <w:t>Instruction;</w:t>
      </w:r>
    </w:p>
    <w:p w:rsidR="001251C6" w:rsidRDefault="00C419AB">
      <w:pPr>
        <w:pStyle w:val="ListParagraph"/>
        <w:numPr>
          <w:ilvl w:val="2"/>
          <w:numId w:val="2"/>
        </w:numPr>
        <w:tabs>
          <w:tab w:val="left" w:pos="2038"/>
        </w:tabs>
        <w:ind w:left="2037" w:hanging="338"/>
      </w:pPr>
      <w:r>
        <w:t>Related</w:t>
      </w:r>
      <w:r>
        <w:rPr>
          <w:spacing w:val="-1"/>
        </w:rPr>
        <w:t xml:space="preserve"> </w:t>
      </w:r>
      <w:r>
        <w:t>services;</w:t>
      </w:r>
    </w:p>
    <w:p w:rsidR="001251C6" w:rsidRDefault="00C419AB">
      <w:pPr>
        <w:pStyle w:val="ListParagraph"/>
        <w:numPr>
          <w:ilvl w:val="2"/>
          <w:numId w:val="2"/>
        </w:numPr>
        <w:tabs>
          <w:tab w:val="left" w:pos="2101"/>
        </w:tabs>
        <w:ind w:left="2100" w:hanging="401"/>
      </w:pPr>
      <w:r>
        <w:t>Community</w:t>
      </w:r>
      <w:r>
        <w:rPr>
          <w:spacing w:val="-6"/>
        </w:rPr>
        <w:t xml:space="preserve"> </w:t>
      </w:r>
      <w:r>
        <w:t>experiences;</w:t>
      </w:r>
    </w:p>
    <w:p w:rsidR="00C419AB" w:rsidRDefault="00C419AB" w:rsidP="00C419AB">
      <w:pPr>
        <w:pStyle w:val="ListParagraph"/>
        <w:numPr>
          <w:ilvl w:val="2"/>
          <w:numId w:val="2"/>
        </w:numPr>
        <w:tabs>
          <w:tab w:val="left" w:pos="2091"/>
        </w:tabs>
        <w:ind w:left="1279" w:right="2281" w:firstLine="420"/>
      </w:pPr>
      <w:r>
        <w:t>The development of employment and other post-school</w:t>
      </w:r>
      <w:r>
        <w:rPr>
          <w:spacing w:val="-28"/>
        </w:rPr>
        <w:t xml:space="preserve"> </w:t>
      </w:r>
      <w:r>
        <w:t>adult living objectives;</w:t>
      </w:r>
      <w:r>
        <w:rPr>
          <w:spacing w:val="-3"/>
        </w:rPr>
        <w:t xml:space="preserve"> </w:t>
      </w:r>
      <w:r>
        <w:t>and</w:t>
      </w:r>
    </w:p>
    <w:p w:rsidR="00C419AB" w:rsidRDefault="00C419AB" w:rsidP="00C419AB">
      <w:pPr>
        <w:pStyle w:val="ListParagraph"/>
        <w:numPr>
          <w:ilvl w:val="2"/>
          <w:numId w:val="2"/>
        </w:numPr>
        <w:tabs>
          <w:tab w:val="left" w:pos="2091"/>
        </w:tabs>
        <w:ind w:left="1279" w:right="2281" w:firstLine="420"/>
      </w:pPr>
      <w:r>
        <w:t>If appropriate, acquisition of daily living skills and provision of a functional vocational</w:t>
      </w:r>
      <w:r w:rsidRPr="00C419AB">
        <w:rPr>
          <w:spacing w:val="-3"/>
        </w:rPr>
        <w:t xml:space="preserve"> </w:t>
      </w:r>
      <w:r>
        <w:t>evaluation.</w:t>
      </w:r>
      <w:r w:rsidR="0034188F">
        <w:t xml:space="preserve">   </w:t>
      </w:r>
      <w:bookmarkStart w:id="0" w:name="_GoBack"/>
      <w:bookmarkEnd w:id="0"/>
    </w:p>
    <w:p w:rsidR="00C419AB" w:rsidRPr="00C419AB" w:rsidRDefault="00C419AB" w:rsidP="00C419AB">
      <w:pPr>
        <w:tabs>
          <w:tab w:val="left" w:pos="2091"/>
        </w:tabs>
        <w:ind w:right="2281"/>
        <w:rPr>
          <w:i/>
        </w:rPr>
      </w:pPr>
      <w:r>
        <w:t xml:space="preserve">         </w:t>
      </w:r>
      <w:r w:rsidRPr="00C419AB">
        <w:rPr>
          <w:i/>
        </w:rPr>
        <w:t xml:space="preserve">The full law can be accessed here </w:t>
      </w:r>
      <w:hyperlink r:id="rId9" w:history="1">
        <w:r w:rsidRPr="00C419AB">
          <w:rPr>
            <w:rStyle w:val="Hyperlink"/>
            <w:i/>
          </w:rPr>
          <w:t>https://ecfr.io/Title-34/cfr300_main</w:t>
        </w:r>
      </w:hyperlink>
      <w:r w:rsidRPr="00C419AB">
        <w:rPr>
          <w:i/>
        </w:rPr>
        <w:t xml:space="preserve">  </w:t>
      </w:r>
      <w:r w:rsidR="0034188F" w:rsidRPr="00C419AB">
        <w:rPr>
          <w:i/>
        </w:rPr>
        <w:t xml:space="preserve"> </w:t>
      </w:r>
    </w:p>
    <w:p w:rsidR="001251C6" w:rsidRDefault="00C419AB" w:rsidP="00C419AB">
      <w:pPr>
        <w:pStyle w:val="ListParagraph"/>
        <w:tabs>
          <w:tab w:val="left" w:pos="2024"/>
        </w:tabs>
        <w:spacing w:before="186"/>
        <w:ind w:left="559" w:right="2707" w:firstLine="0"/>
      </w:pPr>
      <w:r>
        <w:t xml:space="preserve">The coordinated set of </w:t>
      </w:r>
      <w:r w:rsidRPr="00C419AB">
        <w:rPr>
          <w:b/>
        </w:rPr>
        <w:t xml:space="preserve">transition services delineates the activities </w:t>
      </w:r>
      <w:r>
        <w:t>to assist the student in achieving their post-secondary goals.</w:t>
      </w:r>
    </w:p>
    <w:p w:rsidR="001251C6" w:rsidRDefault="00C419AB">
      <w:pPr>
        <w:pStyle w:val="BodyText"/>
        <w:spacing w:before="11"/>
        <w:rPr>
          <w:sz w:val="28"/>
        </w:rPr>
      </w:pPr>
      <w:r>
        <w:pict>
          <v:group id="_x0000_s1026" style="position:absolute;margin-left:1in;margin-top:19pt;width:379.7pt;height:26.95pt;z-index:-251657216;mso-wrap-distance-left:0;mso-wrap-distance-right:0;mso-position-horizontal-relative:page" coordorigin="1440,380" coordsize="7594,539">
            <v:line id="_x0000_s1029" style="position:absolute" from="1972,896" to="9034,896" strokecolor="#1eb050"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440;top:420;width:499;height:432">
              <v:imagedata r:id="rId10" o:title=""/>
            </v:shape>
            <v:shapetype id="_x0000_t202" coordsize="21600,21600" o:spt="202" path="m,l,21600r21600,l21600,xe">
              <v:stroke joinstyle="miter"/>
              <v:path gradientshapeok="t" o:connecttype="rect"/>
            </v:shapetype>
            <v:shape id="_x0000_s1027" type="#_x0000_t202" style="position:absolute;left:1440;top:380;width:7594;height:539" filled="f" stroked="f">
              <v:textbox inset="0,0,0,0">
                <w:txbxContent>
                  <w:p w:rsidR="001251C6" w:rsidRDefault="00C419AB">
                    <w:pPr>
                      <w:ind w:left="602"/>
                      <w:rPr>
                        <w:rFonts w:ascii="Franklin Gothic Medium"/>
                        <w:sz w:val="40"/>
                      </w:rPr>
                    </w:pPr>
                    <w:r>
                      <w:rPr>
                        <w:rFonts w:ascii="Franklin Gothic Medium"/>
                        <w:color w:val="1EB050"/>
                        <w:sz w:val="40"/>
                      </w:rPr>
                      <w:t>Checklists &amp; T</w:t>
                    </w:r>
                    <w:r>
                      <w:rPr>
                        <w:rFonts w:ascii="Franklin Gothic Medium"/>
                        <w:color w:val="1EB050"/>
                        <w:sz w:val="40"/>
                      </w:rPr>
                      <w:t>ips</w:t>
                    </w:r>
                  </w:p>
                </w:txbxContent>
              </v:textbox>
            </v:shape>
            <w10:wrap type="topAndBottom" anchorx="page"/>
          </v:group>
        </w:pict>
      </w:r>
    </w:p>
    <w:p w:rsidR="001251C6" w:rsidRDefault="00C419AB">
      <w:pPr>
        <w:pStyle w:val="Heading1"/>
        <w:spacing w:before="45"/>
        <w:ind w:left="560" w:firstLine="0"/>
      </w:pPr>
      <w:r>
        <w:t>Evidence-Based Best practices tell us:</w:t>
      </w:r>
    </w:p>
    <w:p w:rsidR="001251C6" w:rsidRDefault="00C419AB">
      <w:pPr>
        <w:pStyle w:val="ListParagraph"/>
        <w:numPr>
          <w:ilvl w:val="0"/>
          <w:numId w:val="1"/>
        </w:numPr>
        <w:tabs>
          <w:tab w:val="left" w:pos="1279"/>
          <w:tab w:val="left" w:pos="1280"/>
        </w:tabs>
        <w:spacing w:before="123" w:line="237" w:lineRule="auto"/>
        <w:ind w:right="1862"/>
        <w:rPr>
          <w:sz w:val="24"/>
        </w:rPr>
      </w:pPr>
      <w:r>
        <w:rPr>
          <w:sz w:val="24"/>
        </w:rPr>
        <w:t>At least one transition service should be listed that corresponds or connects to each annual goal;</w:t>
      </w:r>
      <w:r>
        <w:rPr>
          <w:spacing w:val="-6"/>
          <w:sz w:val="24"/>
        </w:rPr>
        <w:t xml:space="preserve"> </w:t>
      </w:r>
      <w:r>
        <w:rPr>
          <w:sz w:val="24"/>
        </w:rPr>
        <w:t>and</w:t>
      </w:r>
    </w:p>
    <w:p w:rsidR="001251C6" w:rsidRDefault="00C419AB">
      <w:pPr>
        <w:pStyle w:val="ListParagraph"/>
        <w:numPr>
          <w:ilvl w:val="0"/>
          <w:numId w:val="1"/>
        </w:numPr>
        <w:tabs>
          <w:tab w:val="left" w:pos="1279"/>
          <w:tab w:val="left" w:pos="1280"/>
        </w:tabs>
        <w:spacing w:before="1"/>
        <w:ind w:right="2091"/>
        <w:rPr>
          <w:sz w:val="24"/>
        </w:rPr>
      </w:pPr>
      <w:r>
        <w:rPr>
          <w:sz w:val="24"/>
        </w:rPr>
        <w:t>Transition services include documented academic and functional activities, supports and services.</w:t>
      </w:r>
    </w:p>
    <w:p w:rsidR="001251C6" w:rsidRDefault="001251C6">
      <w:pPr>
        <w:rPr>
          <w:sz w:val="24"/>
        </w:rPr>
        <w:sectPr w:rsidR="001251C6">
          <w:footerReference w:type="default" r:id="rId11"/>
          <w:type w:val="continuous"/>
          <w:pgSz w:w="12240" w:h="15840"/>
          <w:pgMar w:top="1320" w:right="440" w:bottom="1540" w:left="880" w:header="720" w:footer="1354" w:gutter="0"/>
          <w:pgNumType w:start="36"/>
          <w:cols w:space="720"/>
        </w:sectPr>
      </w:pPr>
    </w:p>
    <w:p w:rsidR="001251C6" w:rsidRDefault="001251C6">
      <w:pPr>
        <w:pStyle w:val="BodyText"/>
        <w:rPr>
          <w:sz w:val="20"/>
        </w:rPr>
      </w:pPr>
    </w:p>
    <w:p w:rsidR="001251C6" w:rsidRDefault="00C419AB">
      <w:pPr>
        <w:pStyle w:val="BodyText"/>
        <w:spacing w:before="223"/>
        <w:ind w:left="560"/>
        <w:rPr>
          <w:b/>
        </w:rPr>
      </w:pPr>
      <w:r>
        <w:rPr>
          <w:noProof/>
        </w:rPr>
        <w:drawing>
          <wp:anchor distT="0" distB="0" distL="0" distR="0" simplePos="0" relativeHeight="1072" behindDoc="0" locked="0" layoutInCell="1" allowOverlap="1">
            <wp:simplePos x="0" y="0"/>
            <wp:positionH relativeFrom="page">
              <wp:posOffset>6827520</wp:posOffset>
            </wp:positionH>
            <wp:positionV relativeFrom="paragraph">
              <wp:posOffset>-144754</wp:posOffset>
            </wp:positionV>
            <wp:extent cx="597534" cy="365758"/>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2" cstate="print"/>
                    <a:stretch>
                      <a:fillRect/>
                    </a:stretch>
                  </pic:blipFill>
                  <pic:spPr>
                    <a:xfrm>
                      <a:off x="0" y="0"/>
                      <a:ext cx="597534" cy="365758"/>
                    </a:xfrm>
                    <a:prstGeom prst="rect">
                      <a:avLst/>
                    </a:prstGeom>
                  </pic:spPr>
                </pic:pic>
              </a:graphicData>
            </a:graphic>
          </wp:anchor>
        </w:drawing>
      </w:r>
      <w:r>
        <w:rPr>
          <w:b/>
        </w:rPr>
        <w:t>Examples of Behavior that Could Fit Post-Secondary Goals</w:t>
      </w:r>
    </w:p>
    <w:p w:rsidR="001251C6" w:rsidRDefault="001251C6">
      <w:pPr>
        <w:pStyle w:val="BodyText"/>
        <w:spacing w:before="10"/>
        <w:rPr>
          <w:b/>
          <w:sz w:val="1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66"/>
        <w:gridCol w:w="1980"/>
        <w:gridCol w:w="2165"/>
        <w:gridCol w:w="2715"/>
      </w:tblGrid>
      <w:tr w:rsidR="001251C6" w:rsidTr="0034188F">
        <w:trPr>
          <w:trHeight w:val="419"/>
        </w:trPr>
        <w:tc>
          <w:tcPr>
            <w:tcW w:w="3866" w:type="dxa"/>
          </w:tcPr>
          <w:p w:rsidR="001251C6" w:rsidRDefault="00C419AB">
            <w:pPr>
              <w:pStyle w:val="TableParagraph"/>
              <w:ind w:left="105"/>
            </w:pPr>
            <w:r>
              <w:t>Transition Services</w:t>
            </w:r>
          </w:p>
        </w:tc>
        <w:tc>
          <w:tcPr>
            <w:tcW w:w="1980" w:type="dxa"/>
            <w:shd w:val="clear" w:color="auto" w:fill="E7E6E6"/>
          </w:tcPr>
          <w:p w:rsidR="001251C6" w:rsidRDefault="00C419AB">
            <w:pPr>
              <w:pStyle w:val="TableParagraph"/>
              <w:spacing w:line="198" w:lineRule="exact"/>
              <w:ind w:left="196"/>
              <w:rPr>
                <w:b/>
                <w:sz w:val="16"/>
              </w:rPr>
            </w:pPr>
            <w:r>
              <w:rPr>
                <w:b/>
                <w:sz w:val="20"/>
              </w:rPr>
              <w:t>E</w:t>
            </w:r>
            <w:r>
              <w:rPr>
                <w:b/>
                <w:sz w:val="16"/>
              </w:rPr>
              <w:t>DUCATION OR</w:t>
            </w:r>
          </w:p>
          <w:p w:rsidR="001251C6" w:rsidRDefault="00C419AB">
            <w:pPr>
              <w:pStyle w:val="TableParagraph"/>
              <w:spacing w:line="202" w:lineRule="exact"/>
              <w:ind w:left="196"/>
              <w:rPr>
                <w:b/>
                <w:sz w:val="16"/>
              </w:rPr>
            </w:pPr>
            <w:r>
              <w:rPr>
                <w:b/>
                <w:sz w:val="20"/>
              </w:rPr>
              <w:t>T</w:t>
            </w:r>
            <w:r>
              <w:rPr>
                <w:b/>
                <w:sz w:val="16"/>
              </w:rPr>
              <w:t>RAINING</w:t>
            </w:r>
          </w:p>
        </w:tc>
        <w:tc>
          <w:tcPr>
            <w:tcW w:w="2165" w:type="dxa"/>
            <w:shd w:val="clear" w:color="auto" w:fill="E7E6E6"/>
          </w:tcPr>
          <w:p w:rsidR="001251C6" w:rsidRDefault="00C419AB">
            <w:pPr>
              <w:pStyle w:val="TableParagraph"/>
              <w:spacing w:line="211" w:lineRule="exact"/>
              <w:ind w:left="417"/>
              <w:rPr>
                <w:b/>
                <w:sz w:val="16"/>
              </w:rPr>
            </w:pPr>
            <w:r>
              <w:rPr>
                <w:b/>
                <w:sz w:val="20"/>
              </w:rPr>
              <w:t>E</w:t>
            </w:r>
            <w:r>
              <w:rPr>
                <w:b/>
                <w:sz w:val="16"/>
              </w:rPr>
              <w:t>MPLOYMENT</w:t>
            </w:r>
          </w:p>
        </w:tc>
        <w:tc>
          <w:tcPr>
            <w:tcW w:w="2501" w:type="dxa"/>
            <w:shd w:val="clear" w:color="auto" w:fill="E7E6E6"/>
          </w:tcPr>
          <w:p w:rsidR="001251C6" w:rsidRDefault="00C419AB">
            <w:pPr>
              <w:pStyle w:val="TableParagraph"/>
              <w:spacing w:line="211" w:lineRule="exact"/>
              <w:ind w:left="527"/>
              <w:rPr>
                <w:b/>
                <w:sz w:val="16"/>
              </w:rPr>
            </w:pPr>
            <w:r>
              <w:rPr>
                <w:b/>
                <w:sz w:val="20"/>
              </w:rPr>
              <w:t>I</w:t>
            </w:r>
            <w:r>
              <w:rPr>
                <w:b/>
                <w:sz w:val="16"/>
              </w:rPr>
              <w:t xml:space="preserve">NDEPENDENT </w:t>
            </w:r>
            <w:r>
              <w:rPr>
                <w:b/>
                <w:sz w:val="20"/>
              </w:rPr>
              <w:t>L</w:t>
            </w:r>
            <w:r>
              <w:rPr>
                <w:b/>
                <w:sz w:val="16"/>
              </w:rPr>
              <w:t>IVING</w:t>
            </w:r>
          </w:p>
        </w:tc>
      </w:tr>
      <w:tr w:rsidR="001251C6" w:rsidTr="0034188F">
        <w:trPr>
          <w:trHeight w:val="1264"/>
        </w:trPr>
        <w:tc>
          <w:tcPr>
            <w:tcW w:w="3866" w:type="dxa"/>
            <w:shd w:val="clear" w:color="auto" w:fill="E7E6E6"/>
          </w:tcPr>
          <w:p w:rsidR="001251C6" w:rsidRDefault="00C419AB">
            <w:pPr>
              <w:pStyle w:val="TableParagraph"/>
              <w:spacing w:before="119"/>
              <w:ind w:left="105"/>
              <w:rPr>
                <w:b/>
                <w:i/>
                <w:sz w:val="20"/>
              </w:rPr>
            </w:pPr>
            <w:r>
              <w:rPr>
                <w:b/>
                <w:i/>
                <w:sz w:val="20"/>
              </w:rPr>
              <w:t>Instruction:</w:t>
            </w:r>
          </w:p>
          <w:p w:rsidR="001251C6" w:rsidRDefault="00C419AB">
            <w:pPr>
              <w:pStyle w:val="TableParagraph"/>
              <w:spacing w:before="1"/>
              <w:ind w:left="148" w:right="-13"/>
              <w:rPr>
                <w:i/>
                <w:sz w:val="18"/>
              </w:rPr>
            </w:pPr>
            <w:r>
              <w:rPr>
                <w:i/>
                <w:sz w:val="18"/>
              </w:rPr>
              <w:t>Academic and functional instruction that will be provided to the student to build the skills necessary to reach their post- secondary goals.</w:t>
            </w:r>
          </w:p>
        </w:tc>
        <w:tc>
          <w:tcPr>
            <w:tcW w:w="1980" w:type="dxa"/>
          </w:tcPr>
          <w:p w:rsidR="001251C6" w:rsidRDefault="001251C6">
            <w:pPr>
              <w:pStyle w:val="TableParagraph"/>
              <w:rPr>
                <w:b/>
              </w:rPr>
            </w:pPr>
          </w:p>
          <w:p w:rsidR="001251C6" w:rsidRDefault="001251C6">
            <w:pPr>
              <w:pStyle w:val="TableParagraph"/>
              <w:spacing w:before="9"/>
              <w:rPr>
                <w:b/>
                <w:sz w:val="27"/>
              </w:rPr>
            </w:pPr>
          </w:p>
          <w:p w:rsidR="001251C6" w:rsidRDefault="00C419AB">
            <w:pPr>
              <w:pStyle w:val="TableParagraph"/>
              <w:ind w:left="113"/>
              <w:rPr>
                <w:sz w:val="20"/>
              </w:rPr>
            </w:pPr>
            <w:r>
              <w:rPr>
                <w:sz w:val="20"/>
              </w:rPr>
              <w:t>Self-advocacy skills</w:t>
            </w:r>
          </w:p>
        </w:tc>
        <w:tc>
          <w:tcPr>
            <w:tcW w:w="2165" w:type="dxa"/>
          </w:tcPr>
          <w:p w:rsidR="001251C6" w:rsidRDefault="001251C6">
            <w:pPr>
              <w:pStyle w:val="TableParagraph"/>
              <w:rPr>
                <w:b/>
              </w:rPr>
            </w:pPr>
          </w:p>
          <w:p w:rsidR="001251C6" w:rsidRDefault="00C419AB">
            <w:pPr>
              <w:pStyle w:val="TableParagraph"/>
              <w:spacing w:before="152"/>
              <w:ind w:left="112" w:right="235"/>
              <w:rPr>
                <w:sz w:val="20"/>
              </w:rPr>
            </w:pPr>
            <w:r>
              <w:rPr>
                <w:sz w:val="20"/>
              </w:rPr>
              <w:t>Work related skills (i.e. punctuality)</w:t>
            </w:r>
          </w:p>
        </w:tc>
        <w:tc>
          <w:tcPr>
            <w:tcW w:w="2501" w:type="dxa"/>
          </w:tcPr>
          <w:p w:rsidR="001251C6" w:rsidRDefault="001251C6">
            <w:pPr>
              <w:pStyle w:val="TableParagraph"/>
              <w:rPr>
                <w:b/>
              </w:rPr>
            </w:pPr>
          </w:p>
          <w:p w:rsidR="001251C6" w:rsidRDefault="001251C6">
            <w:pPr>
              <w:pStyle w:val="TableParagraph"/>
              <w:spacing w:before="9"/>
              <w:rPr>
                <w:b/>
                <w:sz w:val="27"/>
              </w:rPr>
            </w:pPr>
          </w:p>
          <w:p w:rsidR="001251C6" w:rsidRDefault="00C419AB">
            <w:pPr>
              <w:pStyle w:val="TableParagraph"/>
              <w:ind w:left="112"/>
              <w:rPr>
                <w:sz w:val="20"/>
              </w:rPr>
            </w:pPr>
            <w:r>
              <w:rPr>
                <w:sz w:val="20"/>
              </w:rPr>
              <w:t>Self-care skills</w:t>
            </w:r>
          </w:p>
        </w:tc>
      </w:tr>
      <w:tr w:rsidR="001251C6" w:rsidTr="0034188F">
        <w:trPr>
          <w:trHeight w:val="1686"/>
        </w:trPr>
        <w:tc>
          <w:tcPr>
            <w:tcW w:w="3866" w:type="dxa"/>
            <w:shd w:val="clear" w:color="auto" w:fill="E7E6E6"/>
          </w:tcPr>
          <w:p w:rsidR="001251C6" w:rsidRDefault="00C419AB">
            <w:pPr>
              <w:pStyle w:val="TableParagraph"/>
              <w:spacing w:before="119"/>
              <w:ind w:left="69"/>
              <w:rPr>
                <w:b/>
                <w:i/>
                <w:sz w:val="20"/>
              </w:rPr>
            </w:pPr>
            <w:r>
              <w:rPr>
                <w:b/>
                <w:i/>
                <w:sz w:val="20"/>
              </w:rPr>
              <w:t>Related Services:</w:t>
            </w:r>
          </w:p>
          <w:p w:rsidR="001251C6" w:rsidRDefault="00C419AB">
            <w:pPr>
              <w:pStyle w:val="TableParagraph"/>
              <w:spacing w:before="1"/>
              <w:ind w:left="148" w:right="31"/>
              <w:rPr>
                <w:i/>
                <w:sz w:val="16"/>
              </w:rPr>
            </w:pPr>
            <w:r>
              <w:rPr>
                <w:i/>
                <w:sz w:val="18"/>
              </w:rPr>
              <w:t xml:space="preserve">Services needed for students to access integrated work, education and living environments. They may include </w:t>
            </w:r>
            <w:r>
              <w:rPr>
                <w:i/>
                <w:spacing w:val="-4"/>
                <w:sz w:val="18"/>
              </w:rPr>
              <w:t xml:space="preserve">occupational </w:t>
            </w:r>
            <w:r>
              <w:rPr>
                <w:i/>
                <w:sz w:val="18"/>
              </w:rPr>
              <w:t xml:space="preserve">and physical therapy, speech therapy, rehabilitative counseling services, and other </w:t>
            </w:r>
            <w:r>
              <w:rPr>
                <w:i/>
                <w:spacing w:val="-4"/>
                <w:sz w:val="18"/>
              </w:rPr>
              <w:t xml:space="preserve">professional </w:t>
            </w:r>
            <w:r>
              <w:rPr>
                <w:i/>
                <w:sz w:val="18"/>
              </w:rPr>
              <w:t>supports</w:t>
            </w:r>
            <w:r>
              <w:rPr>
                <w:i/>
                <w:sz w:val="16"/>
              </w:rPr>
              <w:t>.</w:t>
            </w:r>
          </w:p>
        </w:tc>
        <w:tc>
          <w:tcPr>
            <w:tcW w:w="1980" w:type="dxa"/>
          </w:tcPr>
          <w:p w:rsidR="001251C6" w:rsidRDefault="001251C6">
            <w:pPr>
              <w:pStyle w:val="TableParagraph"/>
              <w:rPr>
                <w:b/>
              </w:rPr>
            </w:pPr>
          </w:p>
          <w:p w:rsidR="001251C6" w:rsidRDefault="001251C6">
            <w:pPr>
              <w:pStyle w:val="TableParagraph"/>
              <w:rPr>
                <w:b/>
              </w:rPr>
            </w:pPr>
          </w:p>
          <w:p w:rsidR="001251C6" w:rsidRDefault="001251C6">
            <w:pPr>
              <w:pStyle w:val="TableParagraph"/>
              <w:spacing w:before="6"/>
              <w:rPr>
                <w:b/>
                <w:sz w:val="26"/>
              </w:rPr>
            </w:pPr>
          </w:p>
          <w:p w:rsidR="001251C6" w:rsidRDefault="00C419AB">
            <w:pPr>
              <w:pStyle w:val="TableParagraph"/>
              <w:spacing w:before="1"/>
              <w:ind w:left="113"/>
              <w:rPr>
                <w:sz w:val="20"/>
              </w:rPr>
            </w:pPr>
            <w:r>
              <w:rPr>
                <w:sz w:val="20"/>
              </w:rPr>
              <w:t>Speech/language</w:t>
            </w:r>
          </w:p>
        </w:tc>
        <w:tc>
          <w:tcPr>
            <w:tcW w:w="2165" w:type="dxa"/>
          </w:tcPr>
          <w:p w:rsidR="001251C6" w:rsidRDefault="001251C6">
            <w:pPr>
              <w:pStyle w:val="TableParagraph"/>
              <w:rPr>
                <w:b/>
              </w:rPr>
            </w:pPr>
          </w:p>
          <w:p w:rsidR="001251C6" w:rsidRDefault="001251C6">
            <w:pPr>
              <w:pStyle w:val="TableParagraph"/>
              <w:spacing w:before="6"/>
              <w:rPr>
                <w:b/>
                <w:sz w:val="23"/>
              </w:rPr>
            </w:pPr>
          </w:p>
          <w:p w:rsidR="001251C6" w:rsidRDefault="00C419AB">
            <w:pPr>
              <w:pStyle w:val="TableParagraph"/>
              <w:ind w:left="113" w:right="235"/>
              <w:rPr>
                <w:sz w:val="20"/>
              </w:rPr>
            </w:pPr>
            <w:r>
              <w:rPr>
                <w:sz w:val="20"/>
              </w:rPr>
              <w:t xml:space="preserve">VR referral </w:t>
            </w:r>
            <w:r>
              <w:rPr>
                <w:w w:val="95"/>
                <w:sz w:val="20"/>
              </w:rPr>
              <w:t xml:space="preserve">Occupational </w:t>
            </w:r>
            <w:r>
              <w:rPr>
                <w:sz w:val="20"/>
              </w:rPr>
              <w:t>therapy</w:t>
            </w:r>
          </w:p>
        </w:tc>
        <w:tc>
          <w:tcPr>
            <w:tcW w:w="2501" w:type="dxa"/>
          </w:tcPr>
          <w:p w:rsidR="001251C6" w:rsidRDefault="001251C6">
            <w:pPr>
              <w:pStyle w:val="TableParagraph"/>
              <w:rPr>
                <w:b/>
              </w:rPr>
            </w:pPr>
          </w:p>
          <w:p w:rsidR="001251C6" w:rsidRDefault="0034188F" w:rsidP="0034188F">
            <w:pPr>
              <w:pStyle w:val="TableParagraph"/>
              <w:spacing w:before="159"/>
              <w:ind w:left="112" w:right="1210"/>
              <w:rPr>
                <w:sz w:val="20"/>
              </w:rPr>
            </w:pPr>
            <w:r>
              <w:rPr>
                <w:sz w:val="20"/>
              </w:rPr>
              <w:t>Meeting with SSI representati</w:t>
            </w:r>
            <w:r w:rsidR="00C419AB">
              <w:rPr>
                <w:sz w:val="20"/>
              </w:rPr>
              <w:t>ve</w:t>
            </w:r>
          </w:p>
        </w:tc>
      </w:tr>
      <w:tr w:rsidR="001251C6" w:rsidTr="0034188F">
        <w:trPr>
          <w:trHeight w:val="2111"/>
        </w:trPr>
        <w:tc>
          <w:tcPr>
            <w:tcW w:w="3866" w:type="dxa"/>
            <w:shd w:val="clear" w:color="auto" w:fill="E7E6E6"/>
          </w:tcPr>
          <w:p w:rsidR="001251C6" w:rsidRDefault="00C419AB">
            <w:pPr>
              <w:pStyle w:val="TableParagraph"/>
              <w:spacing w:before="119"/>
              <w:ind w:left="69"/>
              <w:rPr>
                <w:b/>
                <w:i/>
                <w:sz w:val="20"/>
              </w:rPr>
            </w:pPr>
            <w:r>
              <w:rPr>
                <w:b/>
                <w:i/>
                <w:sz w:val="20"/>
              </w:rPr>
              <w:t>Community Experience:</w:t>
            </w:r>
          </w:p>
          <w:p w:rsidR="001251C6" w:rsidRDefault="00C419AB">
            <w:pPr>
              <w:pStyle w:val="TableParagraph"/>
              <w:spacing w:before="1"/>
              <w:ind w:left="148" w:right="49"/>
              <w:rPr>
                <w:i/>
                <w:sz w:val="18"/>
              </w:rPr>
            </w:pPr>
            <w:r>
              <w:rPr>
                <w:i/>
                <w:sz w:val="18"/>
              </w:rPr>
              <w:t xml:space="preserve">A variety of activities and experiences </w:t>
            </w:r>
            <w:r>
              <w:rPr>
                <w:i/>
                <w:sz w:val="18"/>
              </w:rPr>
              <w:t>that are provided outside the school building. These might include community resources utilized as part of the student’s school program, whether during school hours or after school hours, to achieve the stated outcome(s) of community integration.</w:t>
            </w:r>
          </w:p>
        </w:tc>
        <w:tc>
          <w:tcPr>
            <w:tcW w:w="1980" w:type="dxa"/>
          </w:tcPr>
          <w:p w:rsidR="001251C6" w:rsidRDefault="001251C6">
            <w:pPr>
              <w:pStyle w:val="TableParagraph"/>
              <w:rPr>
                <w:b/>
              </w:rPr>
            </w:pPr>
          </w:p>
          <w:p w:rsidR="001251C6" w:rsidRDefault="001251C6">
            <w:pPr>
              <w:pStyle w:val="TableParagraph"/>
              <w:spacing w:before="7"/>
              <w:rPr>
                <w:b/>
                <w:sz w:val="19"/>
              </w:rPr>
            </w:pPr>
          </w:p>
          <w:p w:rsidR="001251C6" w:rsidRDefault="00C419AB">
            <w:pPr>
              <w:pStyle w:val="TableParagraph"/>
              <w:ind w:left="113" w:right="207"/>
              <w:rPr>
                <w:sz w:val="20"/>
              </w:rPr>
            </w:pPr>
            <w:r>
              <w:rPr>
                <w:sz w:val="20"/>
              </w:rPr>
              <w:t>Visit c</w:t>
            </w:r>
            <w:r>
              <w:rPr>
                <w:sz w:val="20"/>
              </w:rPr>
              <w:t>ommunity college</w:t>
            </w:r>
            <w:r>
              <w:rPr>
                <w:spacing w:val="-10"/>
                <w:sz w:val="20"/>
              </w:rPr>
              <w:t xml:space="preserve"> </w:t>
            </w:r>
            <w:r>
              <w:rPr>
                <w:sz w:val="20"/>
              </w:rPr>
              <w:t>including a visit to the disability services</w:t>
            </w:r>
            <w:r>
              <w:rPr>
                <w:spacing w:val="1"/>
                <w:sz w:val="20"/>
              </w:rPr>
              <w:t xml:space="preserve"> </w:t>
            </w:r>
            <w:r>
              <w:rPr>
                <w:sz w:val="20"/>
              </w:rPr>
              <w:t>office</w:t>
            </w:r>
          </w:p>
        </w:tc>
        <w:tc>
          <w:tcPr>
            <w:tcW w:w="2165" w:type="dxa"/>
          </w:tcPr>
          <w:p w:rsidR="001251C6" w:rsidRDefault="001251C6">
            <w:pPr>
              <w:pStyle w:val="TableParagraph"/>
              <w:rPr>
                <w:b/>
              </w:rPr>
            </w:pPr>
          </w:p>
          <w:p w:rsidR="001251C6" w:rsidRDefault="001251C6">
            <w:pPr>
              <w:pStyle w:val="TableParagraph"/>
              <w:rPr>
                <w:b/>
              </w:rPr>
            </w:pPr>
          </w:p>
          <w:p w:rsidR="001251C6" w:rsidRDefault="001251C6">
            <w:pPr>
              <w:pStyle w:val="TableParagraph"/>
              <w:rPr>
                <w:b/>
              </w:rPr>
            </w:pPr>
          </w:p>
          <w:p w:rsidR="001251C6" w:rsidRDefault="00C419AB">
            <w:pPr>
              <w:pStyle w:val="TableParagraph"/>
              <w:spacing w:before="184"/>
              <w:ind w:left="113"/>
              <w:rPr>
                <w:sz w:val="20"/>
              </w:rPr>
            </w:pPr>
            <w:r>
              <w:rPr>
                <w:sz w:val="20"/>
              </w:rPr>
              <w:t>Job shadow</w:t>
            </w:r>
          </w:p>
        </w:tc>
        <w:tc>
          <w:tcPr>
            <w:tcW w:w="2501" w:type="dxa"/>
          </w:tcPr>
          <w:p w:rsidR="001251C6" w:rsidRDefault="001251C6">
            <w:pPr>
              <w:pStyle w:val="TableParagraph"/>
              <w:rPr>
                <w:b/>
              </w:rPr>
            </w:pPr>
          </w:p>
          <w:p w:rsidR="001251C6" w:rsidRDefault="001251C6">
            <w:pPr>
              <w:pStyle w:val="TableParagraph"/>
              <w:rPr>
                <w:b/>
              </w:rPr>
            </w:pPr>
          </w:p>
          <w:p w:rsidR="001251C6" w:rsidRDefault="001251C6">
            <w:pPr>
              <w:pStyle w:val="TableParagraph"/>
              <w:spacing w:before="6"/>
              <w:rPr>
                <w:b/>
              </w:rPr>
            </w:pPr>
          </w:p>
          <w:p w:rsidR="001251C6" w:rsidRDefault="00C419AB">
            <w:pPr>
              <w:pStyle w:val="TableParagraph"/>
              <w:ind w:left="112" w:right="260"/>
              <w:rPr>
                <w:sz w:val="20"/>
              </w:rPr>
            </w:pPr>
            <w:r>
              <w:rPr>
                <w:sz w:val="20"/>
              </w:rPr>
              <w:t>Visits to agencies (i.e. Independent Living Center)</w:t>
            </w:r>
          </w:p>
        </w:tc>
      </w:tr>
      <w:tr w:rsidR="001251C6" w:rsidTr="0034188F">
        <w:trPr>
          <w:trHeight w:val="1499"/>
        </w:trPr>
        <w:tc>
          <w:tcPr>
            <w:tcW w:w="3866" w:type="dxa"/>
            <w:shd w:val="clear" w:color="auto" w:fill="E7E6E6"/>
          </w:tcPr>
          <w:p w:rsidR="001251C6" w:rsidRDefault="00C419AB">
            <w:pPr>
              <w:pStyle w:val="TableParagraph"/>
              <w:spacing w:before="119"/>
              <w:ind w:left="105" w:right="202"/>
              <w:rPr>
                <w:i/>
                <w:sz w:val="18"/>
              </w:rPr>
            </w:pPr>
            <w:r>
              <w:rPr>
                <w:b/>
                <w:i/>
                <w:sz w:val="20"/>
              </w:rPr>
              <w:t xml:space="preserve">Development of Employment &amp; Other Living Objectives: </w:t>
            </w:r>
            <w:r>
              <w:rPr>
                <w:i/>
                <w:sz w:val="18"/>
              </w:rPr>
              <w:t>Development of work-related behaviors,</w:t>
            </w:r>
          </w:p>
          <w:p w:rsidR="001251C6" w:rsidRDefault="00C419AB">
            <w:pPr>
              <w:pStyle w:val="TableParagraph"/>
              <w:spacing w:before="3"/>
              <w:ind w:left="148" w:right="-2"/>
              <w:rPr>
                <w:i/>
                <w:sz w:val="18"/>
              </w:rPr>
            </w:pPr>
            <w:r>
              <w:rPr>
                <w:i/>
                <w:sz w:val="18"/>
              </w:rPr>
              <w:t>job seeking, career exploration and actual employment (i.e., career planning, job shadowing, job training)</w:t>
            </w:r>
          </w:p>
        </w:tc>
        <w:tc>
          <w:tcPr>
            <w:tcW w:w="1980" w:type="dxa"/>
          </w:tcPr>
          <w:p w:rsidR="001251C6" w:rsidRDefault="001251C6">
            <w:pPr>
              <w:pStyle w:val="TableParagraph"/>
              <w:spacing w:before="2"/>
              <w:rPr>
                <w:b/>
                <w:sz w:val="31"/>
              </w:rPr>
            </w:pPr>
          </w:p>
          <w:p w:rsidR="001251C6" w:rsidRDefault="00C419AB">
            <w:pPr>
              <w:pStyle w:val="TableParagraph"/>
              <w:spacing w:before="1"/>
              <w:ind w:left="112" w:right="490"/>
              <w:rPr>
                <w:sz w:val="20"/>
              </w:rPr>
            </w:pPr>
            <w:r>
              <w:rPr>
                <w:sz w:val="20"/>
              </w:rPr>
              <w:t>Computer skills Apply for financial aid</w:t>
            </w:r>
          </w:p>
        </w:tc>
        <w:tc>
          <w:tcPr>
            <w:tcW w:w="2165" w:type="dxa"/>
          </w:tcPr>
          <w:p w:rsidR="001251C6" w:rsidRDefault="001251C6">
            <w:pPr>
              <w:pStyle w:val="TableParagraph"/>
              <w:rPr>
                <w:b/>
              </w:rPr>
            </w:pPr>
          </w:p>
          <w:p w:rsidR="001251C6" w:rsidRDefault="00C419AB">
            <w:pPr>
              <w:pStyle w:val="TableParagraph"/>
              <w:spacing w:before="138"/>
              <w:ind w:left="113" w:right="78"/>
              <w:rPr>
                <w:sz w:val="20"/>
              </w:rPr>
            </w:pPr>
            <w:r>
              <w:rPr>
                <w:sz w:val="20"/>
              </w:rPr>
              <w:t>Part time employment related to student’s goals</w:t>
            </w:r>
          </w:p>
        </w:tc>
        <w:tc>
          <w:tcPr>
            <w:tcW w:w="2501" w:type="dxa"/>
          </w:tcPr>
          <w:p w:rsidR="001251C6" w:rsidRDefault="001251C6">
            <w:pPr>
              <w:pStyle w:val="TableParagraph"/>
              <w:rPr>
                <w:b/>
              </w:rPr>
            </w:pPr>
          </w:p>
          <w:p w:rsidR="001251C6" w:rsidRDefault="00C419AB">
            <w:pPr>
              <w:pStyle w:val="TableParagraph"/>
              <w:spacing w:before="169"/>
              <w:ind w:left="112" w:right="401"/>
              <w:rPr>
                <w:sz w:val="20"/>
              </w:rPr>
            </w:pPr>
            <w:r>
              <w:rPr>
                <w:sz w:val="20"/>
              </w:rPr>
              <w:t>Visits to recreational agencies/facilities Community-based</w:t>
            </w:r>
            <w:r>
              <w:rPr>
                <w:sz w:val="20"/>
              </w:rPr>
              <w:t xml:space="preserve"> vocational training</w:t>
            </w:r>
          </w:p>
        </w:tc>
      </w:tr>
      <w:tr w:rsidR="001251C6" w:rsidTr="0034188F">
        <w:trPr>
          <w:trHeight w:val="1828"/>
        </w:trPr>
        <w:tc>
          <w:tcPr>
            <w:tcW w:w="3866" w:type="dxa"/>
            <w:shd w:val="clear" w:color="auto" w:fill="E7E6E6"/>
          </w:tcPr>
          <w:p w:rsidR="001251C6" w:rsidRDefault="00C419AB">
            <w:pPr>
              <w:pStyle w:val="TableParagraph"/>
              <w:spacing w:before="119"/>
              <w:ind w:left="4" w:right="1104" w:firstLine="64"/>
              <w:rPr>
                <w:b/>
                <w:i/>
                <w:sz w:val="20"/>
              </w:rPr>
            </w:pPr>
            <w:r>
              <w:rPr>
                <w:b/>
                <w:i/>
                <w:sz w:val="20"/>
              </w:rPr>
              <w:t>Acquisition of daily Living Skills:</w:t>
            </w:r>
          </w:p>
          <w:p w:rsidR="001251C6" w:rsidRDefault="00C419AB">
            <w:pPr>
              <w:pStyle w:val="TableParagraph"/>
              <w:spacing w:before="121"/>
              <w:ind w:left="148" w:right="10"/>
              <w:rPr>
                <w:i/>
                <w:sz w:val="18"/>
              </w:rPr>
            </w:pPr>
            <w:r>
              <w:rPr>
                <w:i/>
                <w:sz w:val="18"/>
              </w:rPr>
              <w:t>The skills involved in caring for oneself on a daily basis (i.e., dressing, hygiene, household chores, shopping, and managing finances) and an important component of independent living.</w:t>
            </w:r>
          </w:p>
        </w:tc>
        <w:tc>
          <w:tcPr>
            <w:tcW w:w="1980" w:type="dxa"/>
          </w:tcPr>
          <w:p w:rsidR="001251C6" w:rsidRDefault="001251C6">
            <w:pPr>
              <w:pStyle w:val="TableParagraph"/>
              <w:rPr>
                <w:b/>
              </w:rPr>
            </w:pPr>
          </w:p>
          <w:p w:rsidR="001251C6" w:rsidRDefault="001251C6">
            <w:pPr>
              <w:pStyle w:val="TableParagraph"/>
              <w:spacing w:before="8"/>
              <w:rPr>
                <w:b/>
                <w:sz w:val="25"/>
              </w:rPr>
            </w:pPr>
          </w:p>
          <w:p w:rsidR="001251C6" w:rsidRDefault="00C419AB">
            <w:pPr>
              <w:pStyle w:val="TableParagraph"/>
              <w:spacing w:before="1"/>
              <w:ind w:left="113"/>
              <w:rPr>
                <w:sz w:val="20"/>
              </w:rPr>
            </w:pPr>
            <w:r>
              <w:rPr>
                <w:sz w:val="20"/>
              </w:rPr>
              <w:t xml:space="preserve">Using </w:t>
            </w:r>
            <w:r>
              <w:rPr>
                <w:w w:val="95"/>
                <w:sz w:val="20"/>
              </w:rPr>
              <w:t>accommodations</w:t>
            </w:r>
          </w:p>
        </w:tc>
        <w:tc>
          <w:tcPr>
            <w:tcW w:w="2165" w:type="dxa"/>
          </w:tcPr>
          <w:p w:rsidR="001251C6" w:rsidRDefault="001251C6">
            <w:pPr>
              <w:pStyle w:val="TableParagraph"/>
              <w:rPr>
                <w:b/>
              </w:rPr>
            </w:pPr>
          </w:p>
          <w:p w:rsidR="001251C6" w:rsidRDefault="001251C6">
            <w:pPr>
              <w:pStyle w:val="TableParagraph"/>
              <w:rPr>
                <w:b/>
                <w:sz w:val="21"/>
              </w:rPr>
            </w:pPr>
          </w:p>
          <w:p w:rsidR="001251C6" w:rsidRDefault="00C419AB">
            <w:pPr>
              <w:pStyle w:val="TableParagraph"/>
              <w:spacing w:before="1"/>
              <w:ind w:left="113" w:right="318"/>
              <w:rPr>
                <w:sz w:val="20"/>
              </w:rPr>
            </w:pPr>
            <w:r>
              <w:rPr>
                <w:sz w:val="20"/>
              </w:rPr>
              <w:t>Using accommodations Asking for help Learning routines</w:t>
            </w:r>
          </w:p>
        </w:tc>
        <w:tc>
          <w:tcPr>
            <w:tcW w:w="2501" w:type="dxa"/>
          </w:tcPr>
          <w:p w:rsidR="001251C6" w:rsidRDefault="001251C6">
            <w:pPr>
              <w:pStyle w:val="TableParagraph"/>
              <w:spacing w:before="2"/>
              <w:rPr>
                <w:b/>
                <w:sz w:val="28"/>
              </w:rPr>
            </w:pPr>
          </w:p>
          <w:p w:rsidR="001251C6" w:rsidRDefault="00C419AB">
            <w:pPr>
              <w:pStyle w:val="TableParagraph"/>
              <w:ind w:left="112" w:right="397"/>
              <w:rPr>
                <w:sz w:val="20"/>
              </w:rPr>
            </w:pPr>
            <w:r>
              <w:rPr>
                <w:sz w:val="20"/>
              </w:rPr>
              <w:t>Personal banking Instruction Utilizing technology support (phone reminders to take meds)</w:t>
            </w:r>
          </w:p>
        </w:tc>
      </w:tr>
      <w:tr w:rsidR="001251C6" w:rsidTr="0034188F">
        <w:trPr>
          <w:trHeight w:val="2790"/>
        </w:trPr>
        <w:tc>
          <w:tcPr>
            <w:tcW w:w="3866" w:type="dxa"/>
            <w:shd w:val="clear" w:color="auto" w:fill="E7E6E6"/>
          </w:tcPr>
          <w:p w:rsidR="001251C6" w:rsidRDefault="00C419AB">
            <w:pPr>
              <w:pStyle w:val="TableParagraph"/>
              <w:spacing w:before="139"/>
              <w:ind w:left="112" w:right="1104"/>
              <w:rPr>
                <w:b/>
                <w:i/>
                <w:sz w:val="20"/>
              </w:rPr>
            </w:pPr>
            <w:r>
              <w:rPr>
                <w:b/>
                <w:i/>
                <w:sz w:val="20"/>
              </w:rPr>
              <w:t>Functional Vocational Assessment:</w:t>
            </w:r>
          </w:p>
          <w:p w:rsidR="001251C6" w:rsidRDefault="00C419AB">
            <w:pPr>
              <w:pStyle w:val="TableParagraph"/>
              <w:ind w:left="148" w:right="202"/>
              <w:rPr>
                <w:i/>
                <w:sz w:val="18"/>
              </w:rPr>
            </w:pPr>
            <w:r>
              <w:rPr>
                <w:i/>
                <w:sz w:val="18"/>
              </w:rPr>
              <w:t xml:space="preserve">An additional assessment process if the </w:t>
            </w:r>
            <w:r>
              <w:rPr>
                <w:i/>
                <w:sz w:val="18"/>
              </w:rPr>
              <w:t>regular vocational assessment has not provided enough information to make a vocational program decision. Additional assessment activities (i.e., situational assessments, community-based assessments, assistive technology evaluations) can be performed to get</w:t>
            </w:r>
            <w:r>
              <w:rPr>
                <w:i/>
                <w:sz w:val="18"/>
              </w:rPr>
              <w:t xml:space="preserve"> more information about the student’s needs, preferences, and interests</w:t>
            </w:r>
          </w:p>
        </w:tc>
        <w:tc>
          <w:tcPr>
            <w:tcW w:w="1980" w:type="dxa"/>
          </w:tcPr>
          <w:p w:rsidR="001251C6" w:rsidRDefault="001251C6">
            <w:pPr>
              <w:pStyle w:val="TableParagraph"/>
              <w:rPr>
                <w:b/>
              </w:rPr>
            </w:pPr>
          </w:p>
          <w:p w:rsidR="001251C6" w:rsidRDefault="001251C6">
            <w:pPr>
              <w:pStyle w:val="TableParagraph"/>
              <w:rPr>
                <w:b/>
              </w:rPr>
            </w:pPr>
          </w:p>
          <w:p w:rsidR="001251C6" w:rsidRDefault="001251C6">
            <w:pPr>
              <w:pStyle w:val="TableParagraph"/>
              <w:rPr>
                <w:b/>
              </w:rPr>
            </w:pPr>
          </w:p>
          <w:p w:rsidR="001251C6" w:rsidRDefault="001251C6">
            <w:pPr>
              <w:pStyle w:val="TableParagraph"/>
              <w:rPr>
                <w:b/>
              </w:rPr>
            </w:pPr>
          </w:p>
          <w:p w:rsidR="001251C6" w:rsidRDefault="001251C6">
            <w:pPr>
              <w:pStyle w:val="TableParagraph"/>
              <w:spacing w:before="8"/>
              <w:rPr>
                <w:b/>
                <w:sz w:val="21"/>
              </w:rPr>
            </w:pPr>
          </w:p>
          <w:p w:rsidR="001251C6" w:rsidRDefault="00C419AB">
            <w:pPr>
              <w:pStyle w:val="TableParagraph"/>
              <w:ind w:left="113" w:right="208"/>
              <w:rPr>
                <w:sz w:val="20"/>
              </w:rPr>
            </w:pPr>
            <w:r>
              <w:rPr>
                <w:sz w:val="20"/>
              </w:rPr>
              <w:t>College entrance exams</w:t>
            </w:r>
          </w:p>
        </w:tc>
        <w:tc>
          <w:tcPr>
            <w:tcW w:w="2165" w:type="dxa"/>
          </w:tcPr>
          <w:p w:rsidR="001251C6" w:rsidRDefault="001251C6">
            <w:pPr>
              <w:pStyle w:val="TableParagraph"/>
              <w:rPr>
                <w:b/>
              </w:rPr>
            </w:pPr>
          </w:p>
          <w:p w:rsidR="001251C6" w:rsidRDefault="001251C6">
            <w:pPr>
              <w:pStyle w:val="TableParagraph"/>
              <w:rPr>
                <w:b/>
              </w:rPr>
            </w:pPr>
          </w:p>
          <w:p w:rsidR="001251C6" w:rsidRDefault="001251C6">
            <w:pPr>
              <w:pStyle w:val="TableParagraph"/>
              <w:rPr>
                <w:b/>
              </w:rPr>
            </w:pPr>
          </w:p>
          <w:p w:rsidR="001251C6" w:rsidRDefault="001251C6">
            <w:pPr>
              <w:pStyle w:val="TableParagraph"/>
              <w:rPr>
                <w:b/>
              </w:rPr>
            </w:pPr>
          </w:p>
          <w:p w:rsidR="001251C6" w:rsidRDefault="001251C6">
            <w:pPr>
              <w:pStyle w:val="TableParagraph"/>
              <w:spacing w:before="8"/>
              <w:rPr>
                <w:b/>
                <w:sz w:val="21"/>
              </w:rPr>
            </w:pPr>
          </w:p>
          <w:p w:rsidR="001251C6" w:rsidRDefault="00C419AB">
            <w:pPr>
              <w:pStyle w:val="TableParagraph"/>
              <w:ind w:left="5" w:right="901"/>
              <w:rPr>
                <w:sz w:val="20"/>
              </w:rPr>
            </w:pPr>
            <w:r>
              <w:rPr>
                <w:sz w:val="20"/>
              </w:rPr>
              <w:t>Work assessments</w:t>
            </w:r>
          </w:p>
        </w:tc>
        <w:tc>
          <w:tcPr>
            <w:tcW w:w="2501" w:type="dxa"/>
          </w:tcPr>
          <w:p w:rsidR="001251C6" w:rsidRDefault="001251C6">
            <w:pPr>
              <w:pStyle w:val="TableParagraph"/>
              <w:rPr>
                <w:b/>
              </w:rPr>
            </w:pPr>
          </w:p>
          <w:p w:rsidR="001251C6" w:rsidRDefault="001251C6">
            <w:pPr>
              <w:pStyle w:val="TableParagraph"/>
              <w:rPr>
                <w:b/>
              </w:rPr>
            </w:pPr>
          </w:p>
          <w:p w:rsidR="001251C6" w:rsidRDefault="001251C6">
            <w:pPr>
              <w:pStyle w:val="TableParagraph"/>
              <w:rPr>
                <w:b/>
              </w:rPr>
            </w:pPr>
          </w:p>
          <w:p w:rsidR="001251C6" w:rsidRDefault="001251C6">
            <w:pPr>
              <w:pStyle w:val="TableParagraph"/>
              <w:rPr>
                <w:b/>
              </w:rPr>
            </w:pPr>
          </w:p>
          <w:p w:rsidR="001251C6" w:rsidRDefault="001251C6">
            <w:pPr>
              <w:pStyle w:val="TableParagraph"/>
              <w:spacing w:before="8"/>
              <w:rPr>
                <w:b/>
                <w:sz w:val="21"/>
              </w:rPr>
            </w:pPr>
          </w:p>
          <w:p w:rsidR="001251C6" w:rsidRDefault="00C419AB">
            <w:pPr>
              <w:pStyle w:val="TableParagraph"/>
              <w:ind w:left="112" w:right="814"/>
              <w:rPr>
                <w:sz w:val="20"/>
              </w:rPr>
            </w:pPr>
            <w:r>
              <w:rPr>
                <w:sz w:val="20"/>
              </w:rPr>
              <w:t>Functional skills inventory</w:t>
            </w:r>
          </w:p>
        </w:tc>
      </w:tr>
    </w:tbl>
    <w:p w:rsidR="00000000" w:rsidRDefault="00C419AB"/>
    <w:sectPr w:rsidR="00000000">
      <w:pgSz w:w="12240" w:h="15840"/>
      <w:pgMar w:top="1480" w:right="440" w:bottom="1540" w:left="880" w:header="0" w:footer="13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419AB">
      <w:r>
        <w:separator/>
      </w:r>
    </w:p>
  </w:endnote>
  <w:endnote w:type="continuationSeparator" w:id="0">
    <w:p w:rsidR="00000000" w:rsidRDefault="00C4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1C6" w:rsidRDefault="00C419AB">
    <w:pPr>
      <w:pStyle w:val="BodyText"/>
      <w:spacing w:line="14" w:lineRule="auto"/>
      <w:rPr>
        <w:sz w:val="16"/>
      </w:rPr>
    </w:pPr>
    <w:r>
      <w:pict>
        <v:shapetype id="_x0000_t202" coordsize="21600,21600" o:spt="202" path="m,l,21600r21600,l21600,xe">
          <v:stroke joinstyle="miter"/>
          <v:path gradientshapeok="t" o:connecttype="rect"/>
        </v:shapetype>
        <v:shape id="_x0000_s2049" type="#_x0000_t202" style="position:absolute;margin-left:297.05pt;margin-top:708.1pt;width:17.95pt;height:15.05pt;z-index:-251658752;mso-position-horizontal-relative:page;mso-position-vertical-relative:page" filled="f" stroked="f">
          <v:textbox inset="0,0,0,0">
            <w:txbxContent>
              <w:p w:rsidR="001251C6" w:rsidRDefault="00C419AB">
                <w:pPr>
                  <w:pStyle w:val="BodyText"/>
                  <w:spacing w:before="20"/>
                  <w:ind w:left="40"/>
                </w:pPr>
                <w:r>
                  <w:fldChar w:fldCharType="begin"/>
                </w:r>
                <w:r>
                  <w:instrText xml:space="preserve"> PAGE </w:instrText>
                </w:r>
                <w:r>
                  <w:fldChar w:fldCharType="separate"/>
                </w:r>
                <w:r>
                  <w:rPr>
                    <w:noProof/>
                  </w:rPr>
                  <w:t>37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419AB">
      <w:r>
        <w:separator/>
      </w:r>
    </w:p>
  </w:footnote>
  <w:footnote w:type="continuationSeparator" w:id="0">
    <w:p w:rsidR="00000000" w:rsidRDefault="00C41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43A40"/>
    <w:multiLevelType w:val="hybridMultilevel"/>
    <w:tmpl w:val="B1F2134A"/>
    <w:lvl w:ilvl="0" w:tplc="5E8C7E52">
      <w:numFmt w:val="bullet"/>
      <w:lvlText w:val=""/>
      <w:lvlJc w:val="left"/>
      <w:pPr>
        <w:ind w:left="1280" w:hanging="360"/>
      </w:pPr>
      <w:rPr>
        <w:rFonts w:ascii="Symbol" w:eastAsia="Symbol" w:hAnsi="Symbol" w:cs="Symbol" w:hint="default"/>
        <w:w w:val="100"/>
        <w:sz w:val="24"/>
        <w:szCs w:val="24"/>
      </w:rPr>
    </w:lvl>
    <w:lvl w:ilvl="1" w:tplc="89644672">
      <w:numFmt w:val="bullet"/>
      <w:lvlText w:val="•"/>
      <w:lvlJc w:val="left"/>
      <w:pPr>
        <w:ind w:left="2244" w:hanging="360"/>
      </w:pPr>
      <w:rPr>
        <w:rFonts w:hint="default"/>
      </w:rPr>
    </w:lvl>
    <w:lvl w:ilvl="2" w:tplc="D5303D6E">
      <w:numFmt w:val="bullet"/>
      <w:lvlText w:val="•"/>
      <w:lvlJc w:val="left"/>
      <w:pPr>
        <w:ind w:left="3208" w:hanging="360"/>
      </w:pPr>
      <w:rPr>
        <w:rFonts w:hint="default"/>
      </w:rPr>
    </w:lvl>
    <w:lvl w:ilvl="3" w:tplc="F86E4598">
      <w:numFmt w:val="bullet"/>
      <w:lvlText w:val="•"/>
      <w:lvlJc w:val="left"/>
      <w:pPr>
        <w:ind w:left="4172" w:hanging="360"/>
      </w:pPr>
      <w:rPr>
        <w:rFonts w:hint="default"/>
      </w:rPr>
    </w:lvl>
    <w:lvl w:ilvl="4" w:tplc="30442FEA">
      <w:numFmt w:val="bullet"/>
      <w:lvlText w:val="•"/>
      <w:lvlJc w:val="left"/>
      <w:pPr>
        <w:ind w:left="5136" w:hanging="360"/>
      </w:pPr>
      <w:rPr>
        <w:rFonts w:hint="default"/>
      </w:rPr>
    </w:lvl>
    <w:lvl w:ilvl="5" w:tplc="7974E01A">
      <w:numFmt w:val="bullet"/>
      <w:lvlText w:val="•"/>
      <w:lvlJc w:val="left"/>
      <w:pPr>
        <w:ind w:left="6100" w:hanging="360"/>
      </w:pPr>
      <w:rPr>
        <w:rFonts w:hint="default"/>
      </w:rPr>
    </w:lvl>
    <w:lvl w:ilvl="6" w:tplc="CC86DA9A">
      <w:numFmt w:val="bullet"/>
      <w:lvlText w:val="•"/>
      <w:lvlJc w:val="left"/>
      <w:pPr>
        <w:ind w:left="7064" w:hanging="360"/>
      </w:pPr>
      <w:rPr>
        <w:rFonts w:hint="default"/>
      </w:rPr>
    </w:lvl>
    <w:lvl w:ilvl="7" w:tplc="07606508">
      <w:numFmt w:val="bullet"/>
      <w:lvlText w:val="•"/>
      <w:lvlJc w:val="left"/>
      <w:pPr>
        <w:ind w:left="8028" w:hanging="360"/>
      </w:pPr>
      <w:rPr>
        <w:rFonts w:hint="default"/>
      </w:rPr>
    </w:lvl>
    <w:lvl w:ilvl="8" w:tplc="49DE59C0">
      <w:numFmt w:val="bullet"/>
      <w:lvlText w:val="•"/>
      <w:lvlJc w:val="left"/>
      <w:pPr>
        <w:ind w:left="8992" w:hanging="360"/>
      </w:pPr>
      <w:rPr>
        <w:rFonts w:hint="default"/>
      </w:rPr>
    </w:lvl>
  </w:abstractNum>
  <w:abstractNum w:abstractNumId="1" w15:restartNumberingAfterBreak="0">
    <w:nsid w:val="45CE20F1"/>
    <w:multiLevelType w:val="hybridMultilevel"/>
    <w:tmpl w:val="CBF62AE6"/>
    <w:lvl w:ilvl="0" w:tplc="0A965A38">
      <w:start w:val="1"/>
      <w:numFmt w:val="lowerLetter"/>
      <w:lvlText w:val="(%1)"/>
      <w:lvlJc w:val="left"/>
      <w:pPr>
        <w:ind w:left="859" w:hanging="334"/>
      </w:pPr>
      <w:rPr>
        <w:rFonts w:ascii="Lucida Sans" w:eastAsia="Lucida Sans" w:hAnsi="Lucida Sans" w:cs="Lucida Sans" w:hint="default"/>
        <w:spacing w:val="-5"/>
        <w:w w:val="100"/>
        <w:sz w:val="22"/>
        <w:szCs w:val="22"/>
      </w:rPr>
    </w:lvl>
    <w:lvl w:ilvl="1" w:tplc="7838A046">
      <w:start w:val="1"/>
      <w:numFmt w:val="decimal"/>
      <w:lvlText w:val="(%2)"/>
      <w:lvlJc w:val="left"/>
      <w:pPr>
        <w:ind w:left="859" w:hanging="351"/>
      </w:pPr>
      <w:rPr>
        <w:rFonts w:ascii="Lucida Sans" w:eastAsia="Lucida Sans" w:hAnsi="Lucida Sans" w:cs="Lucida Sans" w:hint="default"/>
        <w:spacing w:val="-3"/>
        <w:w w:val="100"/>
        <w:sz w:val="22"/>
        <w:szCs w:val="22"/>
      </w:rPr>
    </w:lvl>
    <w:lvl w:ilvl="2" w:tplc="FCA274BA">
      <w:start w:val="1"/>
      <w:numFmt w:val="lowerRoman"/>
      <w:lvlText w:val="(%3)"/>
      <w:lvlJc w:val="left"/>
      <w:pPr>
        <w:ind w:left="1973" w:hanging="274"/>
      </w:pPr>
      <w:rPr>
        <w:rFonts w:ascii="Lucida Sans" w:eastAsia="Lucida Sans" w:hAnsi="Lucida Sans" w:cs="Lucida Sans" w:hint="default"/>
        <w:i w:val="0"/>
        <w:spacing w:val="-5"/>
        <w:w w:val="100"/>
        <w:sz w:val="22"/>
        <w:szCs w:val="22"/>
      </w:rPr>
    </w:lvl>
    <w:lvl w:ilvl="3" w:tplc="E98AF272">
      <w:numFmt w:val="bullet"/>
      <w:lvlText w:val="•"/>
      <w:lvlJc w:val="left"/>
      <w:pPr>
        <w:ind w:left="3966" w:hanging="274"/>
      </w:pPr>
      <w:rPr>
        <w:rFonts w:hint="default"/>
      </w:rPr>
    </w:lvl>
    <w:lvl w:ilvl="4" w:tplc="8DF0BE22">
      <w:numFmt w:val="bullet"/>
      <w:lvlText w:val="•"/>
      <w:lvlJc w:val="left"/>
      <w:pPr>
        <w:ind w:left="4960" w:hanging="274"/>
      </w:pPr>
      <w:rPr>
        <w:rFonts w:hint="default"/>
      </w:rPr>
    </w:lvl>
    <w:lvl w:ilvl="5" w:tplc="9384934C">
      <w:numFmt w:val="bullet"/>
      <w:lvlText w:val="•"/>
      <w:lvlJc w:val="left"/>
      <w:pPr>
        <w:ind w:left="5953" w:hanging="274"/>
      </w:pPr>
      <w:rPr>
        <w:rFonts w:hint="default"/>
      </w:rPr>
    </w:lvl>
    <w:lvl w:ilvl="6" w:tplc="70F86A0C">
      <w:numFmt w:val="bullet"/>
      <w:lvlText w:val="•"/>
      <w:lvlJc w:val="left"/>
      <w:pPr>
        <w:ind w:left="6946" w:hanging="274"/>
      </w:pPr>
      <w:rPr>
        <w:rFonts w:hint="default"/>
      </w:rPr>
    </w:lvl>
    <w:lvl w:ilvl="7" w:tplc="B58C3222">
      <w:numFmt w:val="bullet"/>
      <w:lvlText w:val="•"/>
      <w:lvlJc w:val="left"/>
      <w:pPr>
        <w:ind w:left="7940" w:hanging="274"/>
      </w:pPr>
      <w:rPr>
        <w:rFonts w:hint="default"/>
      </w:rPr>
    </w:lvl>
    <w:lvl w:ilvl="8" w:tplc="9480947C">
      <w:numFmt w:val="bullet"/>
      <w:lvlText w:val="•"/>
      <w:lvlJc w:val="left"/>
      <w:pPr>
        <w:ind w:left="8933" w:hanging="274"/>
      </w:pPr>
      <w:rPr>
        <w:rFonts w:hint="default"/>
      </w:rPr>
    </w:lvl>
  </w:abstractNum>
  <w:abstractNum w:abstractNumId="2" w15:restartNumberingAfterBreak="0">
    <w:nsid w:val="770C63E8"/>
    <w:multiLevelType w:val="hybridMultilevel"/>
    <w:tmpl w:val="34727FB2"/>
    <w:lvl w:ilvl="0" w:tplc="401CE486">
      <w:start w:val="2"/>
      <w:numFmt w:val="lowerLetter"/>
      <w:lvlText w:val="(%1)"/>
      <w:lvlJc w:val="left"/>
      <w:pPr>
        <w:ind w:left="1054" w:hanging="351"/>
      </w:pPr>
      <w:rPr>
        <w:rFonts w:ascii="Lucida Sans" w:eastAsia="Lucida Sans" w:hAnsi="Lucida Sans" w:cs="Lucida Sans" w:hint="default"/>
        <w:spacing w:val="-3"/>
        <w:w w:val="100"/>
        <w:sz w:val="22"/>
        <w:szCs w:val="22"/>
      </w:rPr>
    </w:lvl>
    <w:lvl w:ilvl="1" w:tplc="6D5E392E">
      <w:start w:val="1"/>
      <w:numFmt w:val="decimal"/>
      <w:lvlText w:val="(%2)"/>
      <w:lvlJc w:val="left"/>
      <w:pPr>
        <w:ind w:left="704" w:hanging="351"/>
      </w:pPr>
      <w:rPr>
        <w:rFonts w:ascii="Lucida Sans" w:eastAsia="Lucida Sans" w:hAnsi="Lucida Sans" w:cs="Lucida Sans" w:hint="default"/>
        <w:spacing w:val="-3"/>
        <w:w w:val="100"/>
        <w:sz w:val="22"/>
        <w:szCs w:val="22"/>
      </w:rPr>
    </w:lvl>
    <w:lvl w:ilvl="2" w:tplc="2AF69DF0">
      <w:numFmt w:val="bullet"/>
      <w:lvlText w:val="•"/>
      <w:lvlJc w:val="left"/>
      <w:pPr>
        <w:ind w:left="2155" w:hanging="351"/>
      </w:pPr>
      <w:rPr>
        <w:rFonts w:hint="default"/>
      </w:rPr>
    </w:lvl>
    <w:lvl w:ilvl="3" w:tplc="90102646">
      <w:numFmt w:val="bullet"/>
      <w:lvlText w:val="•"/>
      <w:lvlJc w:val="left"/>
      <w:pPr>
        <w:ind w:left="3251" w:hanging="351"/>
      </w:pPr>
      <w:rPr>
        <w:rFonts w:hint="default"/>
      </w:rPr>
    </w:lvl>
    <w:lvl w:ilvl="4" w:tplc="CF3A6184">
      <w:numFmt w:val="bullet"/>
      <w:lvlText w:val="•"/>
      <w:lvlJc w:val="left"/>
      <w:pPr>
        <w:ind w:left="4346" w:hanging="351"/>
      </w:pPr>
      <w:rPr>
        <w:rFonts w:hint="default"/>
      </w:rPr>
    </w:lvl>
    <w:lvl w:ilvl="5" w:tplc="7CFC6C7A">
      <w:numFmt w:val="bullet"/>
      <w:lvlText w:val="•"/>
      <w:lvlJc w:val="left"/>
      <w:pPr>
        <w:ind w:left="5442" w:hanging="351"/>
      </w:pPr>
      <w:rPr>
        <w:rFonts w:hint="default"/>
      </w:rPr>
    </w:lvl>
    <w:lvl w:ilvl="6" w:tplc="1A5470DE">
      <w:numFmt w:val="bullet"/>
      <w:lvlText w:val="•"/>
      <w:lvlJc w:val="left"/>
      <w:pPr>
        <w:ind w:left="6537" w:hanging="351"/>
      </w:pPr>
      <w:rPr>
        <w:rFonts w:hint="default"/>
      </w:rPr>
    </w:lvl>
    <w:lvl w:ilvl="7" w:tplc="54187F62">
      <w:numFmt w:val="bullet"/>
      <w:lvlText w:val="•"/>
      <w:lvlJc w:val="left"/>
      <w:pPr>
        <w:ind w:left="7633" w:hanging="351"/>
      </w:pPr>
      <w:rPr>
        <w:rFonts w:hint="default"/>
      </w:rPr>
    </w:lvl>
    <w:lvl w:ilvl="8" w:tplc="43A2F73A">
      <w:numFmt w:val="bullet"/>
      <w:lvlText w:val="•"/>
      <w:lvlJc w:val="left"/>
      <w:pPr>
        <w:ind w:left="8728" w:hanging="351"/>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251C6"/>
    <w:rsid w:val="001251C6"/>
    <w:rsid w:val="0034188F"/>
    <w:rsid w:val="00C4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2544C3"/>
  <w15:docId w15:val="{97572AF7-AFA3-4848-9A87-C6E7004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ucida Sans" w:eastAsia="Lucida Sans" w:hAnsi="Lucida Sans" w:cs="Lucida Sans"/>
    </w:rPr>
  </w:style>
  <w:style w:type="paragraph" w:styleId="Heading1">
    <w:name w:val="heading 1"/>
    <w:basedOn w:val="Normal"/>
    <w:uiPriority w:val="1"/>
    <w:qFormat/>
    <w:pPr>
      <w:spacing w:before="1"/>
      <w:ind w:left="1280" w:hanging="3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59" w:firstLine="4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188F"/>
    <w:rPr>
      <w:color w:val="0000FF" w:themeColor="hyperlink"/>
      <w:u w:val="single"/>
    </w:rPr>
  </w:style>
  <w:style w:type="character" w:styleId="FollowedHyperlink">
    <w:name w:val="FollowedHyperlink"/>
    <w:basedOn w:val="DefaultParagraphFont"/>
    <w:uiPriority w:val="99"/>
    <w:semiHidden/>
    <w:unhideWhenUsed/>
    <w:rsid w:val="003418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ecfr.io/Title-34/cfr300_ma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Windows User</cp:lastModifiedBy>
  <cp:revision>2</cp:revision>
  <dcterms:created xsi:type="dcterms:W3CDTF">2018-10-05T16:16:00Z</dcterms:created>
  <dcterms:modified xsi:type="dcterms:W3CDTF">2018-10-05T16:29:00Z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Acrobat PDFMaker 18 for Word</vt:lpwstr>
  </property>
  <property fmtid="{D5CDD505-2E9C-101B-9397-08002B2CF9AE}" pid="4" name="LastSaved">
    <vt:filetime>2018-10-05T00:00:00Z</vt:filetime>
  </property>
</Properties>
</file>