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F80" w:rsidRDefault="00DB287C">
      <w:pPr>
        <w:spacing w:before="78"/>
        <w:ind w:left="120"/>
        <w:rPr>
          <w:rFonts w:ascii="Franklin Gothic Medium"/>
          <w:sz w:val="48"/>
        </w:rPr>
      </w:pPr>
      <w:r>
        <w:rPr>
          <w:noProof/>
        </w:rPr>
        <w:drawing>
          <wp:anchor distT="0" distB="0" distL="0" distR="0" simplePos="0" relativeHeight="251656704" behindDoc="0" locked="0" layoutInCell="1" allowOverlap="1">
            <wp:simplePos x="0" y="0"/>
            <wp:positionH relativeFrom="page">
              <wp:posOffset>6717030</wp:posOffset>
            </wp:positionH>
            <wp:positionV relativeFrom="paragraph">
              <wp:posOffset>78436</wp:posOffset>
            </wp:positionV>
            <wp:extent cx="598167" cy="3655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98167" cy="365544"/>
                    </a:xfrm>
                    <a:prstGeom prst="rect">
                      <a:avLst/>
                    </a:prstGeom>
                  </pic:spPr>
                </pic:pic>
              </a:graphicData>
            </a:graphic>
          </wp:anchor>
        </w:drawing>
      </w:r>
      <w:r>
        <w:rPr>
          <w:rFonts w:ascii="Franklin Gothic Medium"/>
          <w:color w:val="005490"/>
          <w:sz w:val="48"/>
        </w:rPr>
        <w:t>Post-Secondary Goals</w:t>
      </w:r>
    </w:p>
    <w:p w:rsidR="00522F80" w:rsidRDefault="00522F80">
      <w:pPr>
        <w:pStyle w:val="BodyText"/>
        <w:spacing w:before="1"/>
        <w:rPr>
          <w:rFonts w:ascii="Franklin Gothic Medium"/>
          <w:sz w:val="16"/>
        </w:rPr>
      </w:pPr>
    </w:p>
    <w:p w:rsidR="00522F80" w:rsidRDefault="00DB287C">
      <w:pPr>
        <w:pStyle w:val="BodyText"/>
        <w:spacing w:before="101"/>
        <w:ind w:left="119" w:right="946"/>
      </w:pPr>
      <w:r>
        <w:t>A post-secondary goal (PSG) refers to those goals that a student hopes to achieve after leaving secondary school. All students who have an IEP in effect the year the student turns 16 or younger, if determined appropriate by the IEP team, must have PSGs. Th</w:t>
      </w:r>
      <w:r>
        <w:t>e PSG must be based upon age-appropriate transition assessments. A measurable post- secondary goal provides an outcome, not just a process for the student and it must be able to be counted, tabulated or observed. There must be at least two goals for all st</w:t>
      </w:r>
      <w:r>
        <w:t>udents: one for employment and one for education or training. Some students, based on assessment information, may require a goal for independent living.</w:t>
      </w:r>
    </w:p>
    <w:p w:rsidR="00522F80" w:rsidRDefault="00DB287C">
      <w:pPr>
        <w:tabs>
          <w:tab w:val="left" w:pos="7743"/>
        </w:tabs>
        <w:spacing w:before="123"/>
        <w:ind w:left="120"/>
        <w:rPr>
          <w:rFonts w:ascii="Franklin Gothic Medium"/>
          <w:sz w:val="40"/>
        </w:rPr>
      </w:pPr>
      <w:r>
        <w:rPr>
          <w:noProof/>
          <w:position w:val="-17"/>
        </w:rPr>
        <w:drawing>
          <wp:inline distT="0" distB="0" distL="0" distR="0">
            <wp:extent cx="269874" cy="2742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69874" cy="274231"/>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rFonts w:ascii="Franklin Gothic Medium"/>
          <w:color w:val="1EB050"/>
          <w:sz w:val="40"/>
          <w:u w:val="thick" w:color="1EB050"/>
        </w:rPr>
        <w:t>Law &amp;</w:t>
      </w:r>
      <w:r>
        <w:rPr>
          <w:rFonts w:ascii="Franklin Gothic Medium"/>
          <w:color w:val="1EB050"/>
          <w:spacing w:val="-7"/>
          <w:sz w:val="40"/>
          <w:u w:val="thick" w:color="1EB050"/>
        </w:rPr>
        <w:t xml:space="preserve"> </w:t>
      </w:r>
      <w:r>
        <w:rPr>
          <w:rFonts w:ascii="Franklin Gothic Medium"/>
          <w:color w:val="1EB050"/>
          <w:sz w:val="40"/>
          <w:u w:val="thick" w:color="1EB050"/>
        </w:rPr>
        <w:t>Guidelines</w:t>
      </w:r>
      <w:r>
        <w:rPr>
          <w:rFonts w:ascii="Franklin Gothic Medium"/>
          <w:color w:val="1EB050"/>
          <w:sz w:val="40"/>
          <w:u w:val="thick" w:color="1EB050"/>
        </w:rPr>
        <w:tab/>
      </w:r>
    </w:p>
    <w:p w:rsidR="00522F80" w:rsidRDefault="00DB287C">
      <w:pPr>
        <w:pStyle w:val="BodyText"/>
        <w:tabs>
          <w:tab w:val="left" w:pos="2229"/>
        </w:tabs>
        <w:spacing w:before="184"/>
        <w:ind w:left="120"/>
      </w:pPr>
      <w:r>
        <w:rPr>
          <w:b/>
        </w:rPr>
        <w:t>IDEA</w:t>
      </w:r>
      <w:r>
        <w:rPr>
          <w:b/>
          <w:spacing w:val="-4"/>
        </w:rPr>
        <w:t xml:space="preserve"> </w:t>
      </w:r>
      <w:r>
        <w:rPr>
          <w:b/>
        </w:rPr>
        <w:t>Regulation</w:t>
      </w:r>
      <w:r>
        <w:rPr>
          <w:b/>
        </w:rPr>
        <w:tab/>
      </w:r>
      <w:r>
        <w:t>300.320(b)(1)</w:t>
      </w:r>
    </w:p>
    <w:p w:rsidR="00522F80" w:rsidRDefault="00DB287C">
      <w:pPr>
        <w:pStyle w:val="ListParagraph"/>
        <w:numPr>
          <w:ilvl w:val="0"/>
          <w:numId w:val="1"/>
        </w:numPr>
        <w:tabs>
          <w:tab w:val="left" w:pos="471"/>
        </w:tabs>
        <w:spacing w:before="161"/>
        <w:ind w:right="1334" w:firstLine="0"/>
      </w:pPr>
      <w:r>
        <w:t xml:space="preserve">Transition services. Beginning not later than the </w:t>
      </w:r>
      <w:r>
        <w:t xml:space="preserve">first IEP to be in effect when the child turns 16, or younger if determined appropriate by the IEP Team, and updated annually, thereafter, the IEP </w:t>
      </w:r>
      <w:r>
        <w:rPr>
          <w:spacing w:val="-3"/>
        </w:rPr>
        <w:t>must</w:t>
      </w:r>
      <w:r>
        <w:rPr>
          <w:spacing w:val="-7"/>
        </w:rPr>
        <w:t xml:space="preserve"> </w:t>
      </w:r>
      <w:r>
        <w:t>include—</w:t>
      </w:r>
    </w:p>
    <w:p w:rsidR="00522F80" w:rsidRDefault="00DB287C">
      <w:pPr>
        <w:pStyle w:val="ListParagraph"/>
        <w:numPr>
          <w:ilvl w:val="1"/>
          <w:numId w:val="1"/>
        </w:numPr>
        <w:tabs>
          <w:tab w:val="left" w:pos="471"/>
        </w:tabs>
        <w:ind w:right="1883" w:firstLine="0"/>
      </w:pPr>
      <w:r>
        <w:t>Appropriate measurable postsecondary goals based upon age appropriate transition assessments re</w:t>
      </w:r>
      <w:r>
        <w:t xml:space="preserve">lated to training, education, employment, and, where appropriate, independent living skills; </w:t>
      </w:r>
      <w:r w:rsidRPr="00C246A9">
        <w:rPr>
          <w:i/>
          <w:sz w:val="23"/>
        </w:rPr>
        <w:t xml:space="preserve">The full law can be accessed here </w:t>
      </w:r>
      <w:r w:rsidRPr="00DB287C">
        <w:rPr>
          <w:rStyle w:val="Hyperlink"/>
          <w:i/>
          <w:sz w:val="23"/>
        </w:rPr>
        <w:t>https://ecfr.io/Tit</w:t>
      </w:r>
      <w:r w:rsidRPr="00DB287C">
        <w:rPr>
          <w:rStyle w:val="Hyperlink"/>
          <w:i/>
          <w:sz w:val="23"/>
        </w:rPr>
        <w:t>l</w:t>
      </w:r>
      <w:r>
        <w:rPr>
          <w:rStyle w:val="Hyperlink"/>
          <w:i/>
          <w:sz w:val="23"/>
        </w:rPr>
        <w:t>e-34/se34.2.300_1320</w:t>
      </w:r>
      <w:bookmarkStart w:id="0" w:name="_GoBack"/>
      <w:bookmarkEnd w:id="0"/>
    </w:p>
    <w:p w:rsidR="00522F80" w:rsidRDefault="00522F80">
      <w:pPr>
        <w:pStyle w:val="BodyText"/>
        <w:spacing w:before="5"/>
        <w:rPr>
          <w:sz w:val="20"/>
        </w:rPr>
      </w:pPr>
    </w:p>
    <w:p w:rsidR="00522F80" w:rsidRDefault="00DB287C">
      <w:pPr>
        <w:pStyle w:val="BodyText"/>
        <w:ind w:left="120" w:right="1062"/>
      </w:pPr>
      <w:r>
        <w:t>The IEP Team writes the PSGs based on age appropriate transition assessment and the student’s preferences, interests, needs, and strengths.</w:t>
      </w:r>
    </w:p>
    <w:p w:rsidR="00522F80" w:rsidRDefault="00DB287C">
      <w:pPr>
        <w:pStyle w:val="BodyText"/>
        <w:ind w:left="119"/>
      </w:pPr>
      <w:r>
        <w:t>The IEP team must cons</w:t>
      </w:r>
      <w:r>
        <w:t>ider goals in four areas when appropriate:</w:t>
      </w:r>
    </w:p>
    <w:p w:rsidR="00522F80" w:rsidRDefault="00DB287C">
      <w:pPr>
        <w:pStyle w:val="Heading1"/>
        <w:numPr>
          <w:ilvl w:val="2"/>
          <w:numId w:val="1"/>
        </w:numPr>
        <w:tabs>
          <w:tab w:val="left" w:pos="839"/>
          <w:tab w:val="left" w:pos="840"/>
        </w:tabs>
        <w:spacing w:before="161" w:line="293" w:lineRule="exact"/>
      </w:pPr>
      <w:r>
        <w:t>education</w:t>
      </w:r>
    </w:p>
    <w:p w:rsidR="00522F80" w:rsidRDefault="00DB287C">
      <w:pPr>
        <w:pStyle w:val="ListParagraph"/>
        <w:numPr>
          <w:ilvl w:val="2"/>
          <w:numId w:val="1"/>
        </w:numPr>
        <w:tabs>
          <w:tab w:val="left" w:pos="839"/>
          <w:tab w:val="left" w:pos="840"/>
        </w:tabs>
        <w:spacing w:line="292" w:lineRule="exact"/>
        <w:rPr>
          <w:sz w:val="24"/>
        </w:rPr>
      </w:pPr>
      <w:r>
        <w:rPr>
          <w:sz w:val="24"/>
        </w:rPr>
        <w:t>training</w:t>
      </w:r>
    </w:p>
    <w:p w:rsidR="00522F80" w:rsidRDefault="00DB287C">
      <w:pPr>
        <w:pStyle w:val="ListParagraph"/>
        <w:numPr>
          <w:ilvl w:val="2"/>
          <w:numId w:val="1"/>
        </w:numPr>
        <w:tabs>
          <w:tab w:val="left" w:pos="839"/>
          <w:tab w:val="left" w:pos="840"/>
        </w:tabs>
        <w:spacing w:line="292" w:lineRule="exact"/>
        <w:rPr>
          <w:sz w:val="24"/>
        </w:rPr>
      </w:pPr>
      <w:r>
        <w:rPr>
          <w:sz w:val="24"/>
        </w:rPr>
        <w:t>employment</w:t>
      </w:r>
    </w:p>
    <w:p w:rsidR="00522F80" w:rsidRDefault="00DB287C">
      <w:pPr>
        <w:pStyle w:val="ListParagraph"/>
        <w:numPr>
          <w:ilvl w:val="2"/>
          <w:numId w:val="1"/>
        </w:numPr>
        <w:tabs>
          <w:tab w:val="left" w:pos="839"/>
          <w:tab w:val="left" w:pos="840"/>
        </w:tabs>
        <w:spacing w:line="293" w:lineRule="exact"/>
        <w:rPr>
          <w:sz w:val="24"/>
        </w:rPr>
      </w:pPr>
      <w:r>
        <w:rPr>
          <w:sz w:val="24"/>
        </w:rPr>
        <w:t>independent living</w:t>
      </w:r>
      <w:r>
        <w:rPr>
          <w:spacing w:val="5"/>
          <w:sz w:val="24"/>
        </w:rPr>
        <w:t xml:space="preserve"> </w:t>
      </w:r>
      <w:r>
        <w:rPr>
          <w:sz w:val="24"/>
        </w:rPr>
        <w:t>skills</w:t>
      </w:r>
    </w:p>
    <w:p w:rsidR="00522F80" w:rsidRDefault="00DB287C">
      <w:pPr>
        <w:pStyle w:val="BodyText"/>
        <w:spacing w:before="115"/>
        <w:ind w:left="120"/>
      </w:pPr>
      <w:r>
        <w:t xml:space="preserve">The PSGs must be developed </w:t>
      </w:r>
      <w:r>
        <w:rPr>
          <w:b/>
        </w:rPr>
        <w:t xml:space="preserve">annually </w:t>
      </w:r>
      <w:r>
        <w:t>at the student’s IEP meeting.</w:t>
      </w:r>
    </w:p>
    <w:p w:rsidR="00522F80" w:rsidRDefault="00DB287C">
      <w:pPr>
        <w:pStyle w:val="BodyText"/>
        <w:spacing w:before="161"/>
        <w:ind w:left="119" w:right="993"/>
        <w:jc w:val="both"/>
      </w:pPr>
      <w:r>
        <w:t>When determining whether post-secondary goals in the areas of training and education overlap, the IEP team must consider the unique needs of each individual student with a disability in light of his or her plans after leaving high school.</w:t>
      </w:r>
    </w:p>
    <w:p w:rsidR="00522F80" w:rsidRDefault="00DB287C">
      <w:pPr>
        <w:pStyle w:val="BodyText"/>
        <w:spacing w:before="161"/>
        <w:ind w:left="119" w:right="1113"/>
      </w:pPr>
      <w:r>
        <w:rPr>
          <w:noProof/>
        </w:rPr>
        <w:drawing>
          <wp:anchor distT="0" distB="0" distL="0" distR="0" simplePos="0" relativeHeight="251655680" behindDoc="0" locked="0" layoutInCell="1" allowOverlap="1">
            <wp:simplePos x="0" y="0"/>
            <wp:positionH relativeFrom="page">
              <wp:posOffset>833627</wp:posOffset>
            </wp:positionH>
            <wp:positionV relativeFrom="paragraph">
              <wp:posOffset>1093809</wp:posOffset>
            </wp:positionV>
            <wp:extent cx="248411" cy="108508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48411" cy="1085087"/>
                    </a:xfrm>
                    <a:prstGeom prst="rect">
                      <a:avLst/>
                    </a:prstGeom>
                  </pic:spPr>
                </pic:pic>
              </a:graphicData>
            </a:graphic>
          </wp:anchor>
        </w:drawing>
      </w:r>
      <w:r>
        <w:t xml:space="preserve">If the IEP Team </w:t>
      </w:r>
      <w:r>
        <w:t>determines that separate post-secondary goals in the areas of training and education would not result in the need for distinct skills for the student after leaving high school the IEP Team can combine the training and education goals of the student into on</w:t>
      </w:r>
      <w:r>
        <w:t>e or more post-secondary goals addressing those areas.</w:t>
      </w:r>
    </w:p>
    <w:p w:rsidR="00522F80" w:rsidRDefault="00522F80">
      <w:pPr>
        <w:sectPr w:rsidR="00522F80">
          <w:footerReference w:type="default" r:id="rId10"/>
          <w:type w:val="continuous"/>
          <w:pgSz w:w="12240" w:h="15840"/>
          <w:pgMar w:top="1320" w:right="500" w:bottom="1640" w:left="1320" w:header="720" w:footer="1458" w:gutter="0"/>
          <w:pgNumType w:start="31"/>
          <w:cols w:space="720"/>
        </w:sectPr>
      </w:pPr>
    </w:p>
    <w:p w:rsidR="00522F80" w:rsidRDefault="00DB287C">
      <w:pPr>
        <w:pStyle w:val="BodyText"/>
        <w:tabs>
          <w:tab w:val="left" w:pos="9359"/>
        </w:tabs>
        <w:spacing w:before="8" w:line="564" w:lineRule="exact"/>
        <w:ind w:left="2447"/>
        <w:rPr>
          <w:b/>
        </w:rPr>
      </w:pPr>
      <w:r>
        <w:rPr>
          <w:b/>
        </w:rPr>
        <w:lastRenderedPageBreak/>
        <w:t>Formula for Writing</w:t>
      </w:r>
      <w:r>
        <w:rPr>
          <w:b/>
          <w:spacing w:val="-13"/>
        </w:rPr>
        <w:t xml:space="preserve"> </w:t>
      </w:r>
      <w:r>
        <w:rPr>
          <w:b/>
        </w:rPr>
        <w:t>Post-Secondary</w:t>
      </w:r>
      <w:r>
        <w:rPr>
          <w:b/>
          <w:spacing w:val="-2"/>
        </w:rPr>
        <w:t xml:space="preserve"> </w:t>
      </w:r>
      <w:r>
        <w:rPr>
          <w:b/>
        </w:rPr>
        <w:t>Goals</w:t>
      </w:r>
      <w:r>
        <w:rPr>
          <w:b/>
        </w:rPr>
        <w:tab/>
      </w:r>
      <w:r>
        <w:rPr>
          <w:b/>
          <w:noProof/>
          <w:position w:val="-22"/>
        </w:rPr>
        <w:drawing>
          <wp:inline distT="0" distB="0" distL="0" distR="0">
            <wp:extent cx="597534" cy="36575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97534" cy="365758"/>
                    </a:xfrm>
                    <a:prstGeom prst="rect">
                      <a:avLst/>
                    </a:prstGeom>
                  </pic:spPr>
                </pic:pic>
              </a:graphicData>
            </a:graphic>
          </wp:inline>
        </w:drawing>
      </w:r>
    </w:p>
    <w:p w:rsidR="00522F80" w:rsidRDefault="00DB287C">
      <w:pPr>
        <w:pStyle w:val="BodyText"/>
        <w:tabs>
          <w:tab w:val="left" w:pos="3659"/>
          <w:tab w:val="left" w:pos="3935"/>
          <w:tab w:val="left" w:pos="5841"/>
          <w:tab w:val="left" w:pos="6258"/>
          <w:tab w:val="left" w:pos="7909"/>
        </w:tabs>
        <w:spacing w:line="247" w:lineRule="exact"/>
        <w:ind w:left="2116"/>
        <w:rPr>
          <w:b/>
        </w:rPr>
      </w:pPr>
      <w:r>
        <w:pict>
          <v:line id="_x0000_s2055" style="position:absolute;left:0;text-align:left;z-index:251657728;mso-position-horizontal-relative:page" from="1in,10.5pt" to="132.6pt,10.5pt" strokeweight=".28042mm">
            <w10:wrap anchorx="page"/>
          </v:line>
        </w:pict>
      </w:r>
      <w:r>
        <w:rPr>
          <w:b/>
          <w:u w:val="single"/>
        </w:rPr>
        <w:t xml:space="preserve"> </w:t>
      </w:r>
      <w:r>
        <w:rPr>
          <w:b/>
          <w:u w:val="single"/>
        </w:rPr>
        <w:tab/>
      </w:r>
      <w:r>
        <w:rPr>
          <w:b/>
        </w:rPr>
        <w:tab/>
        <w:t>will</w:t>
      </w:r>
      <w:r>
        <w:rPr>
          <w:b/>
          <w:spacing w:val="-1"/>
        </w:rPr>
        <w:t xml:space="preserve"> </w:t>
      </w:r>
      <w:r>
        <w:rPr>
          <w:b/>
          <w:u w:val="single"/>
        </w:rPr>
        <w:t xml:space="preserve"> </w:t>
      </w:r>
      <w:r>
        <w:rPr>
          <w:b/>
          <w:u w:val="single"/>
        </w:rPr>
        <w:tab/>
      </w:r>
      <w:r>
        <w:rPr>
          <w:b/>
        </w:rPr>
        <w:tab/>
      </w:r>
      <w:r>
        <w:rPr>
          <w:b/>
          <w:u w:val="single"/>
        </w:rPr>
        <w:t xml:space="preserve"> </w:t>
      </w:r>
      <w:r>
        <w:rPr>
          <w:b/>
          <w:u w:val="single"/>
        </w:rPr>
        <w:tab/>
      </w:r>
    </w:p>
    <w:p w:rsidR="00522F80" w:rsidRDefault="00DB287C">
      <w:pPr>
        <w:tabs>
          <w:tab w:val="left" w:pos="2253"/>
          <w:tab w:val="left" w:pos="4285"/>
          <w:tab w:val="left" w:pos="6321"/>
        </w:tabs>
        <w:spacing w:before="162"/>
        <w:ind w:left="120"/>
        <w:rPr>
          <w:i/>
          <w:sz w:val="20"/>
        </w:rPr>
      </w:pPr>
      <w:r>
        <w:rPr>
          <w:i/>
          <w:sz w:val="20"/>
        </w:rPr>
        <w:t>(Time)</w:t>
      </w:r>
      <w:r>
        <w:rPr>
          <w:i/>
          <w:sz w:val="20"/>
        </w:rPr>
        <w:tab/>
        <w:t>(The</w:t>
      </w:r>
      <w:r>
        <w:rPr>
          <w:i/>
          <w:spacing w:val="-3"/>
          <w:sz w:val="20"/>
        </w:rPr>
        <w:t xml:space="preserve"> </w:t>
      </w:r>
      <w:r>
        <w:rPr>
          <w:i/>
          <w:sz w:val="20"/>
        </w:rPr>
        <w:t>Student)</w:t>
      </w:r>
      <w:r>
        <w:rPr>
          <w:i/>
          <w:sz w:val="20"/>
        </w:rPr>
        <w:tab/>
        <w:t>(Goal</w:t>
      </w:r>
      <w:r>
        <w:rPr>
          <w:i/>
          <w:spacing w:val="-1"/>
          <w:sz w:val="20"/>
        </w:rPr>
        <w:t xml:space="preserve"> </w:t>
      </w:r>
      <w:r>
        <w:rPr>
          <w:i/>
          <w:sz w:val="20"/>
        </w:rPr>
        <w:t>Behavior)</w:t>
      </w:r>
      <w:r>
        <w:rPr>
          <w:i/>
          <w:sz w:val="20"/>
        </w:rPr>
        <w:tab/>
        <w:t>(Where &amp; How)</w:t>
      </w:r>
    </w:p>
    <w:p w:rsidR="00522F80" w:rsidRDefault="00522F80">
      <w:pPr>
        <w:pStyle w:val="BodyText"/>
        <w:rPr>
          <w:i/>
        </w:rPr>
      </w:pPr>
    </w:p>
    <w:p w:rsidR="00522F80" w:rsidRDefault="00522F80">
      <w:pPr>
        <w:pStyle w:val="BodyText"/>
        <w:spacing w:before="2"/>
        <w:rPr>
          <w:i/>
          <w:sz w:val="25"/>
        </w:rPr>
      </w:pPr>
    </w:p>
    <w:p w:rsidR="00522F80" w:rsidRDefault="00DB287C">
      <w:pPr>
        <w:tabs>
          <w:tab w:val="left" w:pos="2594"/>
          <w:tab w:val="left" w:pos="4038"/>
          <w:tab w:val="left" w:pos="4658"/>
          <w:tab w:val="left" w:pos="5656"/>
        </w:tabs>
        <w:spacing w:line="237" w:lineRule="exact"/>
        <w:ind w:left="120"/>
        <w:rPr>
          <w:sz w:val="20"/>
        </w:rPr>
      </w:pPr>
      <w:r>
        <w:pict>
          <v:line id="_x0000_s2054" style="position:absolute;left:0;text-align:left;z-index:251658752;mso-position-horizontal-relative:page" from="1in,10.95pt" to="459.7pt,10.95pt" strokeweight=".16969mm">
            <w10:wrap anchorx="page"/>
          </v:line>
        </w:pict>
      </w:r>
      <w:r>
        <w:rPr>
          <w:sz w:val="20"/>
        </w:rPr>
        <w:t>Two months</w:t>
      </w:r>
      <w:r>
        <w:rPr>
          <w:spacing w:val="-3"/>
          <w:sz w:val="20"/>
        </w:rPr>
        <w:t xml:space="preserve"> </w:t>
      </w:r>
      <w:r>
        <w:rPr>
          <w:sz w:val="20"/>
        </w:rPr>
        <w:t>after</w:t>
      </w:r>
      <w:r>
        <w:rPr>
          <w:spacing w:val="-2"/>
          <w:sz w:val="20"/>
        </w:rPr>
        <w:t xml:space="preserve"> </w:t>
      </w:r>
      <w:r>
        <w:rPr>
          <w:sz w:val="20"/>
        </w:rPr>
        <w:t>HS</w:t>
      </w:r>
      <w:r>
        <w:rPr>
          <w:sz w:val="20"/>
        </w:rPr>
        <w:tab/>
        <w:t>Susan</w:t>
      </w:r>
      <w:r>
        <w:rPr>
          <w:sz w:val="20"/>
        </w:rPr>
        <w:tab/>
      </w:r>
      <w:r>
        <w:rPr>
          <w:b/>
          <w:sz w:val="20"/>
        </w:rPr>
        <w:t>will</w:t>
      </w:r>
      <w:r>
        <w:rPr>
          <w:b/>
          <w:sz w:val="20"/>
        </w:rPr>
        <w:tab/>
      </w:r>
      <w:r>
        <w:rPr>
          <w:sz w:val="20"/>
        </w:rPr>
        <w:t>enroll</w:t>
      </w:r>
      <w:r>
        <w:rPr>
          <w:sz w:val="20"/>
        </w:rPr>
        <w:tab/>
        <w:t>in Community College.</w:t>
      </w:r>
    </w:p>
    <w:p w:rsidR="00522F80" w:rsidRDefault="00DB287C">
      <w:pPr>
        <w:tabs>
          <w:tab w:val="left" w:pos="2380"/>
          <w:tab w:val="left" w:pos="4300"/>
          <w:tab w:val="left" w:pos="6256"/>
        </w:tabs>
        <w:ind w:left="182"/>
        <w:rPr>
          <w:i/>
          <w:sz w:val="20"/>
        </w:rPr>
      </w:pPr>
      <w:r>
        <w:rPr>
          <w:i/>
          <w:sz w:val="20"/>
        </w:rPr>
        <w:t>(Time)</w:t>
      </w:r>
      <w:r>
        <w:rPr>
          <w:i/>
          <w:sz w:val="20"/>
        </w:rPr>
        <w:tab/>
        <w:t>(The</w:t>
      </w:r>
      <w:r>
        <w:rPr>
          <w:i/>
          <w:spacing w:val="-3"/>
          <w:sz w:val="20"/>
        </w:rPr>
        <w:t xml:space="preserve"> </w:t>
      </w:r>
      <w:r>
        <w:rPr>
          <w:i/>
          <w:sz w:val="20"/>
        </w:rPr>
        <w:t>Student)</w:t>
      </w:r>
      <w:r>
        <w:rPr>
          <w:i/>
          <w:sz w:val="20"/>
        </w:rPr>
        <w:tab/>
        <w:t>(Goal</w:t>
      </w:r>
      <w:r>
        <w:rPr>
          <w:i/>
          <w:spacing w:val="-2"/>
          <w:sz w:val="20"/>
        </w:rPr>
        <w:t xml:space="preserve"> </w:t>
      </w:r>
      <w:r>
        <w:rPr>
          <w:i/>
          <w:sz w:val="20"/>
        </w:rPr>
        <w:t>Behavior)</w:t>
      </w:r>
      <w:r>
        <w:rPr>
          <w:i/>
          <w:sz w:val="20"/>
        </w:rPr>
        <w:tab/>
        <w:t>(Where &amp;</w:t>
      </w:r>
      <w:r>
        <w:rPr>
          <w:i/>
          <w:spacing w:val="-1"/>
          <w:sz w:val="20"/>
        </w:rPr>
        <w:t xml:space="preserve"> </w:t>
      </w:r>
      <w:r>
        <w:rPr>
          <w:i/>
          <w:sz w:val="20"/>
        </w:rPr>
        <w:t>How)</w:t>
      </w:r>
    </w:p>
    <w:p w:rsidR="00522F80" w:rsidRDefault="00522F80">
      <w:pPr>
        <w:pStyle w:val="BodyText"/>
        <w:rPr>
          <w:i/>
          <w:sz w:val="20"/>
        </w:rPr>
      </w:pPr>
    </w:p>
    <w:p w:rsidR="00522F80" w:rsidRDefault="00DB287C">
      <w:pPr>
        <w:pStyle w:val="BodyText"/>
        <w:spacing w:before="7"/>
        <w:rPr>
          <w:i/>
        </w:rPr>
      </w:pPr>
      <w:r>
        <w:pict>
          <v:group id="_x0000_s2050" style="position:absolute;margin-left:1in;margin-top:15.25pt;width:380.05pt;height:26.4pt;z-index:-251656704;mso-wrap-distance-left:0;mso-wrap-distance-right:0;mso-position-horizontal-relative:page" coordorigin="1440,305" coordsize="7601,528">
            <v:line id="_x0000_s2053" style="position:absolute" from="1979,810" to="9041,810" strokecolor="#1eb050"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440;top:337;width:499;height:432">
              <v:imagedata r:id="rId12" o:title=""/>
            </v:shape>
            <v:shapetype id="_x0000_t202" coordsize="21600,21600" o:spt="202" path="m,l,21600r21600,l21600,xe">
              <v:stroke joinstyle="miter"/>
              <v:path gradientshapeok="t" o:connecttype="rect"/>
            </v:shapetype>
            <v:shape id="_x0000_s2051" type="#_x0000_t202" style="position:absolute;left:1440;top:305;width:7601;height:528" filled="f" stroked="f">
              <v:textbox inset="0,0,0,0">
                <w:txbxContent>
                  <w:p w:rsidR="00522F80" w:rsidRDefault="00DB287C">
                    <w:pPr>
                      <w:ind w:left="602"/>
                      <w:rPr>
                        <w:rFonts w:ascii="Franklin Gothic Medium"/>
                        <w:sz w:val="40"/>
                      </w:rPr>
                    </w:pPr>
                    <w:r>
                      <w:rPr>
                        <w:rFonts w:ascii="Franklin Gothic Medium"/>
                        <w:color w:val="1EB050"/>
                        <w:sz w:val="40"/>
                      </w:rPr>
                      <w:t>Checklists &amp; Tips</w:t>
                    </w:r>
                  </w:p>
                </w:txbxContent>
              </v:textbox>
            </v:shape>
            <w10:wrap type="topAndBottom" anchorx="page"/>
          </v:group>
        </w:pict>
      </w:r>
    </w:p>
    <w:p w:rsidR="00522F80" w:rsidRDefault="00522F80">
      <w:pPr>
        <w:pStyle w:val="BodyText"/>
        <w:spacing w:before="4"/>
        <w:rPr>
          <w:i/>
          <w:sz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822"/>
      </w:tblGrid>
      <w:tr w:rsidR="00522F80">
        <w:trPr>
          <w:trHeight w:val="434"/>
        </w:trPr>
        <w:tc>
          <w:tcPr>
            <w:tcW w:w="9610" w:type="dxa"/>
            <w:gridSpan w:val="2"/>
            <w:shd w:val="clear" w:color="auto" w:fill="DCDCDC"/>
          </w:tcPr>
          <w:p w:rsidR="00522F80" w:rsidRDefault="00DB287C">
            <w:pPr>
              <w:pStyle w:val="TableParagraph"/>
              <w:spacing w:before="9"/>
              <w:ind w:left="1955"/>
              <w:rPr>
                <w:b/>
              </w:rPr>
            </w:pPr>
            <w:r>
              <w:rPr>
                <w:b/>
              </w:rPr>
              <w:t>Example of post-secondary goals and words for IEP</w:t>
            </w:r>
          </w:p>
        </w:tc>
      </w:tr>
      <w:tr w:rsidR="00522F80">
        <w:trPr>
          <w:trHeight w:val="433"/>
        </w:trPr>
        <w:tc>
          <w:tcPr>
            <w:tcW w:w="4788" w:type="dxa"/>
          </w:tcPr>
          <w:p w:rsidR="00522F80" w:rsidRDefault="00DB287C">
            <w:pPr>
              <w:pStyle w:val="TableParagraph"/>
              <w:spacing w:before="9"/>
              <w:rPr>
                <w:b/>
              </w:rPr>
            </w:pPr>
            <w:r>
              <w:rPr>
                <w:b/>
              </w:rPr>
              <w:t>If student has a post-secondary goal of:</w:t>
            </w:r>
          </w:p>
        </w:tc>
        <w:tc>
          <w:tcPr>
            <w:tcW w:w="4822" w:type="dxa"/>
          </w:tcPr>
          <w:p w:rsidR="00522F80" w:rsidRDefault="00DB287C">
            <w:pPr>
              <w:pStyle w:val="TableParagraph"/>
              <w:spacing w:before="9"/>
              <w:rPr>
                <w:b/>
              </w:rPr>
            </w:pPr>
            <w:r>
              <w:rPr>
                <w:b/>
              </w:rPr>
              <w:t>Words to describe behavior for IEP:</w:t>
            </w:r>
          </w:p>
        </w:tc>
      </w:tr>
      <w:tr w:rsidR="00522F80">
        <w:trPr>
          <w:trHeight w:val="419"/>
        </w:trPr>
        <w:tc>
          <w:tcPr>
            <w:tcW w:w="4788" w:type="dxa"/>
          </w:tcPr>
          <w:p w:rsidR="00522F80" w:rsidRDefault="00DB287C">
            <w:pPr>
              <w:pStyle w:val="TableParagraph"/>
              <w:spacing w:before="2"/>
              <w:rPr>
                <w:b/>
                <w:i/>
              </w:rPr>
            </w:pPr>
            <w:r>
              <w:rPr>
                <w:b/>
                <w:i/>
              </w:rPr>
              <w:t>Education, Training</w:t>
            </w:r>
          </w:p>
        </w:tc>
        <w:tc>
          <w:tcPr>
            <w:tcW w:w="4822" w:type="dxa"/>
          </w:tcPr>
          <w:p w:rsidR="00522F80" w:rsidRDefault="00DB287C">
            <w:pPr>
              <w:pStyle w:val="TableParagraph"/>
              <w:spacing w:before="2"/>
              <w:rPr>
                <w:b/>
                <w:i/>
              </w:rPr>
            </w:pPr>
            <w:r>
              <w:rPr>
                <w:b/>
                <w:i/>
              </w:rPr>
              <w:t>Education, Training</w:t>
            </w:r>
          </w:p>
        </w:tc>
      </w:tr>
      <w:tr w:rsidR="00522F80">
        <w:trPr>
          <w:trHeight w:val="409"/>
        </w:trPr>
        <w:tc>
          <w:tcPr>
            <w:tcW w:w="4788" w:type="dxa"/>
          </w:tcPr>
          <w:p w:rsidR="00522F80" w:rsidRDefault="00DB287C">
            <w:pPr>
              <w:pStyle w:val="TableParagraph"/>
              <w:spacing w:line="248" w:lineRule="exact"/>
            </w:pPr>
            <w:r>
              <w:t>4 year college university</w:t>
            </w:r>
          </w:p>
        </w:tc>
        <w:tc>
          <w:tcPr>
            <w:tcW w:w="4822" w:type="dxa"/>
          </w:tcPr>
          <w:p w:rsidR="00522F80" w:rsidRDefault="00DB287C">
            <w:pPr>
              <w:pStyle w:val="TableParagraph"/>
              <w:spacing w:line="248" w:lineRule="exact"/>
            </w:pPr>
            <w:r>
              <w:t>Attend a college or university</w:t>
            </w:r>
          </w:p>
        </w:tc>
      </w:tr>
      <w:tr w:rsidR="00522F80">
        <w:trPr>
          <w:trHeight w:val="678"/>
        </w:trPr>
        <w:tc>
          <w:tcPr>
            <w:tcW w:w="4788" w:type="dxa"/>
          </w:tcPr>
          <w:p w:rsidR="00522F80" w:rsidRDefault="00DB287C">
            <w:pPr>
              <w:pStyle w:val="TableParagraph"/>
              <w:spacing w:before="123"/>
            </w:pPr>
            <w:r>
              <w:t>2 year community or technical college</w:t>
            </w:r>
          </w:p>
        </w:tc>
        <w:tc>
          <w:tcPr>
            <w:tcW w:w="4822" w:type="dxa"/>
          </w:tcPr>
          <w:p w:rsidR="00522F80" w:rsidRDefault="00DB287C">
            <w:pPr>
              <w:pStyle w:val="TableParagraph"/>
              <w:ind w:right="1261"/>
            </w:pPr>
            <w:r>
              <w:t>Earn an occupational certificate, associate’s degree</w:t>
            </w:r>
          </w:p>
        </w:tc>
      </w:tr>
      <w:tr w:rsidR="00522F80">
        <w:trPr>
          <w:trHeight w:val="942"/>
        </w:trPr>
        <w:tc>
          <w:tcPr>
            <w:tcW w:w="4788" w:type="dxa"/>
          </w:tcPr>
          <w:p w:rsidR="00522F80" w:rsidRDefault="00DB287C">
            <w:pPr>
              <w:pStyle w:val="TableParagraph"/>
              <w:spacing w:before="123"/>
            </w:pPr>
            <w:r>
              <w:t>Short term vocational or technical school</w:t>
            </w:r>
          </w:p>
        </w:tc>
        <w:tc>
          <w:tcPr>
            <w:tcW w:w="4822" w:type="dxa"/>
          </w:tcPr>
          <w:p w:rsidR="00522F80" w:rsidRDefault="00DB287C">
            <w:pPr>
              <w:pStyle w:val="TableParagraph"/>
              <w:spacing w:line="242" w:lineRule="auto"/>
              <w:ind w:right="1052"/>
            </w:pPr>
            <w:r>
              <w:t>Attend vocational training (beauty school, pet grooming, trucking school)</w:t>
            </w:r>
          </w:p>
        </w:tc>
      </w:tr>
      <w:tr w:rsidR="00522F80">
        <w:trPr>
          <w:trHeight w:val="366"/>
        </w:trPr>
        <w:tc>
          <w:tcPr>
            <w:tcW w:w="9610" w:type="dxa"/>
            <w:gridSpan w:val="2"/>
          </w:tcPr>
          <w:p w:rsidR="00522F80" w:rsidRDefault="00522F80">
            <w:pPr>
              <w:pStyle w:val="TableParagraph"/>
              <w:ind w:left="0"/>
              <w:rPr>
                <w:rFonts w:ascii="Times New Roman"/>
              </w:rPr>
            </w:pPr>
          </w:p>
        </w:tc>
      </w:tr>
      <w:tr w:rsidR="00522F80">
        <w:trPr>
          <w:trHeight w:val="395"/>
        </w:trPr>
        <w:tc>
          <w:tcPr>
            <w:tcW w:w="4788" w:type="dxa"/>
          </w:tcPr>
          <w:p w:rsidR="00522F80" w:rsidRDefault="00DB287C">
            <w:pPr>
              <w:pStyle w:val="TableParagraph"/>
              <w:spacing w:line="235" w:lineRule="exact"/>
              <w:rPr>
                <w:b/>
                <w:i/>
              </w:rPr>
            </w:pPr>
            <w:r>
              <w:rPr>
                <w:b/>
                <w:i/>
              </w:rPr>
              <w:t>Employment</w:t>
            </w:r>
          </w:p>
        </w:tc>
        <w:tc>
          <w:tcPr>
            <w:tcW w:w="4822" w:type="dxa"/>
          </w:tcPr>
          <w:p w:rsidR="00522F80" w:rsidRDefault="00DB287C">
            <w:pPr>
              <w:pStyle w:val="TableParagraph"/>
              <w:spacing w:line="235" w:lineRule="exact"/>
              <w:rPr>
                <w:b/>
                <w:i/>
              </w:rPr>
            </w:pPr>
            <w:r>
              <w:rPr>
                <w:b/>
                <w:i/>
              </w:rPr>
              <w:t>Employment</w:t>
            </w:r>
          </w:p>
        </w:tc>
      </w:tr>
      <w:tr w:rsidR="00522F80">
        <w:trPr>
          <w:trHeight w:val="390"/>
        </w:trPr>
        <w:tc>
          <w:tcPr>
            <w:tcW w:w="4788" w:type="dxa"/>
          </w:tcPr>
          <w:p w:rsidR="00522F80" w:rsidRDefault="00DB287C">
            <w:pPr>
              <w:pStyle w:val="TableParagraph"/>
              <w:spacing w:line="231" w:lineRule="exact"/>
            </w:pPr>
            <w:r>
              <w:t>Competitive employment</w:t>
            </w:r>
          </w:p>
        </w:tc>
        <w:tc>
          <w:tcPr>
            <w:tcW w:w="4822" w:type="dxa"/>
          </w:tcPr>
          <w:p w:rsidR="00522F80" w:rsidRDefault="00DB287C">
            <w:pPr>
              <w:pStyle w:val="TableParagraph"/>
              <w:spacing w:line="231" w:lineRule="exact"/>
            </w:pPr>
            <w:r>
              <w:t>Work a full or part time job</w:t>
            </w:r>
          </w:p>
        </w:tc>
      </w:tr>
      <w:tr w:rsidR="00522F80">
        <w:trPr>
          <w:trHeight w:val="659"/>
        </w:trPr>
        <w:tc>
          <w:tcPr>
            <w:tcW w:w="4788" w:type="dxa"/>
          </w:tcPr>
          <w:p w:rsidR="00522F80" w:rsidRDefault="00DB287C">
            <w:pPr>
              <w:pStyle w:val="TableParagraph"/>
              <w:spacing w:before="20"/>
            </w:pPr>
            <w:r>
              <w:t>Supported employment</w:t>
            </w:r>
          </w:p>
        </w:tc>
        <w:tc>
          <w:tcPr>
            <w:tcW w:w="4822" w:type="dxa"/>
          </w:tcPr>
          <w:p w:rsidR="00522F80" w:rsidRDefault="00DB287C">
            <w:pPr>
              <w:pStyle w:val="TableParagraph"/>
              <w:spacing w:line="232" w:lineRule="auto"/>
              <w:ind w:right="654"/>
            </w:pPr>
            <w:r>
              <w:t>Establish connection with appropriate agency</w:t>
            </w:r>
          </w:p>
        </w:tc>
      </w:tr>
      <w:tr w:rsidR="00522F80">
        <w:trPr>
          <w:trHeight w:val="438"/>
        </w:trPr>
        <w:tc>
          <w:tcPr>
            <w:tcW w:w="4788" w:type="dxa"/>
          </w:tcPr>
          <w:p w:rsidR="00522F80" w:rsidRDefault="00DB287C">
            <w:pPr>
              <w:pStyle w:val="TableParagraph"/>
              <w:spacing w:before="22"/>
            </w:pPr>
            <w:r>
              <w:t>Volunteer work in the community</w:t>
            </w:r>
          </w:p>
        </w:tc>
        <w:tc>
          <w:tcPr>
            <w:tcW w:w="4822" w:type="dxa"/>
          </w:tcPr>
          <w:p w:rsidR="00522F80" w:rsidRDefault="00DB287C">
            <w:pPr>
              <w:pStyle w:val="TableParagraph"/>
              <w:spacing w:before="3"/>
            </w:pPr>
            <w:r>
              <w:t>Sign up with volunteer program</w:t>
            </w:r>
          </w:p>
        </w:tc>
      </w:tr>
      <w:tr w:rsidR="00522F80">
        <w:trPr>
          <w:trHeight w:val="390"/>
        </w:trPr>
        <w:tc>
          <w:tcPr>
            <w:tcW w:w="9610" w:type="dxa"/>
            <w:gridSpan w:val="2"/>
          </w:tcPr>
          <w:p w:rsidR="00522F80" w:rsidRDefault="00522F80">
            <w:pPr>
              <w:pStyle w:val="TableParagraph"/>
              <w:ind w:left="0"/>
              <w:rPr>
                <w:rFonts w:ascii="Times New Roman"/>
              </w:rPr>
            </w:pPr>
          </w:p>
        </w:tc>
      </w:tr>
      <w:tr w:rsidR="00522F80">
        <w:trPr>
          <w:trHeight w:val="433"/>
        </w:trPr>
        <w:tc>
          <w:tcPr>
            <w:tcW w:w="4788" w:type="dxa"/>
          </w:tcPr>
          <w:p w:rsidR="00522F80" w:rsidRDefault="00DB287C">
            <w:pPr>
              <w:pStyle w:val="TableParagraph"/>
              <w:spacing w:before="14"/>
              <w:rPr>
                <w:b/>
                <w:i/>
              </w:rPr>
            </w:pPr>
            <w:r>
              <w:rPr>
                <w:b/>
                <w:i/>
              </w:rPr>
              <w:t>Independent Living</w:t>
            </w:r>
          </w:p>
        </w:tc>
        <w:tc>
          <w:tcPr>
            <w:tcW w:w="4822" w:type="dxa"/>
          </w:tcPr>
          <w:p w:rsidR="00522F80" w:rsidRDefault="00DB287C">
            <w:pPr>
              <w:pStyle w:val="TableParagraph"/>
              <w:spacing w:line="247" w:lineRule="exact"/>
              <w:ind w:left="203"/>
              <w:rPr>
                <w:b/>
                <w:i/>
              </w:rPr>
            </w:pPr>
            <w:r>
              <w:rPr>
                <w:b/>
                <w:i/>
              </w:rPr>
              <w:t>Independent Living</w:t>
            </w:r>
          </w:p>
        </w:tc>
      </w:tr>
      <w:tr w:rsidR="00522F80">
        <w:trPr>
          <w:trHeight w:val="395"/>
        </w:trPr>
        <w:tc>
          <w:tcPr>
            <w:tcW w:w="4788" w:type="dxa"/>
          </w:tcPr>
          <w:p w:rsidR="00522F80" w:rsidRDefault="00DB287C">
            <w:pPr>
              <w:pStyle w:val="TableParagraph"/>
              <w:spacing w:line="233" w:lineRule="exact"/>
            </w:pPr>
            <w:r>
              <w:t>Money management</w:t>
            </w:r>
          </w:p>
        </w:tc>
        <w:tc>
          <w:tcPr>
            <w:tcW w:w="4822" w:type="dxa"/>
          </w:tcPr>
          <w:p w:rsidR="00522F80" w:rsidRDefault="00DB287C">
            <w:pPr>
              <w:pStyle w:val="TableParagraph"/>
              <w:spacing w:line="233" w:lineRule="exact"/>
            </w:pPr>
            <w:r>
              <w:t>Manage finances</w:t>
            </w:r>
          </w:p>
        </w:tc>
      </w:tr>
      <w:tr w:rsidR="00522F80">
        <w:trPr>
          <w:trHeight w:val="390"/>
        </w:trPr>
        <w:tc>
          <w:tcPr>
            <w:tcW w:w="4788" w:type="dxa"/>
          </w:tcPr>
          <w:p w:rsidR="00522F80" w:rsidRDefault="00DB287C">
            <w:pPr>
              <w:pStyle w:val="TableParagraph"/>
              <w:spacing w:line="231" w:lineRule="exact"/>
            </w:pPr>
            <w:r>
              <w:t>Grocery shopping- Meal preparation</w:t>
            </w:r>
          </w:p>
        </w:tc>
        <w:tc>
          <w:tcPr>
            <w:tcW w:w="4822" w:type="dxa"/>
          </w:tcPr>
          <w:p w:rsidR="00522F80" w:rsidRDefault="00DB287C">
            <w:pPr>
              <w:pStyle w:val="TableParagraph"/>
              <w:spacing w:line="231" w:lineRule="exact"/>
            </w:pPr>
            <w:r>
              <w:t>Access community independently</w:t>
            </w:r>
          </w:p>
        </w:tc>
      </w:tr>
      <w:tr w:rsidR="00522F80">
        <w:trPr>
          <w:trHeight w:val="393"/>
        </w:trPr>
        <w:tc>
          <w:tcPr>
            <w:tcW w:w="4788" w:type="dxa"/>
          </w:tcPr>
          <w:p w:rsidR="00522F80" w:rsidRDefault="00DB287C">
            <w:pPr>
              <w:pStyle w:val="TableParagraph"/>
              <w:spacing w:line="231" w:lineRule="exact"/>
            </w:pPr>
            <w:r>
              <w:t>Transportation</w:t>
            </w:r>
          </w:p>
        </w:tc>
        <w:tc>
          <w:tcPr>
            <w:tcW w:w="4822" w:type="dxa"/>
          </w:tcPr>
          <w:p w:rsidR="00522F80" w:rsidRDefault="00DB287C">
            <w:pPr>
              <w:pStyle w:val="TableParagraph"/>
              <w:spacing w:line="231" w:lineRule="exact"/>
            </w:pPr>
            <w:r>
              <w:t>Use public transportation</w:t>
            </w:r>
          </w:p>
        </w:tc>
      </w:tr>
    </w:tbl>
    <w:p w:rsidR="00000000" w:rsidRDefault="00DB287C"/>
    <w:sectPr w:rsidR="00000000">
      <w:pgSz w:w="12240" w:h="15840"/>
      <w:pgMar w:top="1300" w:right="500" w:bottom="1640" w:left="1320" w:header="0" w:footer="1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287C">
      <w:r>
        <w:separator/>
      </w:r>
    </w:p>
  </w:endnote>
  <w:endnote w:type="continuationSeparator" w:id="0">
    <w:p w:rsidR="00000000" w:rsidRDefault="00DB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altName w:val="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F80" w:rsidRDefault="00DB287C">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97.05pt;margin-top:708.1pt;width:17.95pt;height:15.05pt;z-index:-251658752;mso-position-horizontal-relative:page;mso-position-vertical-relative:page" filled="f" stroked="f">
          <v:textbox inset="0,0,0,0">
            <w:txbxContent>
              <w:p w:rsidR="00522F80" w:rsidRDefault="00DB287C">
                <w:pPr>
                  <w:pStyle w:val="BodyText"/>
                  <w:spacing w:before="20"/>
                  <w:ind w:left="40"/>
                </w:pPr>
                <w:r>
                  <w:fldChar w:fldCharType="begin"/>
                </w:r>
                <w:r>
                  <w:instrText xml:space="preserve"> PAGE </w:instrText>
                </w:r>
                <w:r>
                  <w:fldChar w:fldCharType="separate"/>
                </w:r>
                <w:r>
                  <w:rPr>
                    <w:noProof/>
                  </w:rPr>
                  <w:t>31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B287C">
      <w:r>
        <w:separator/>
      </w:r>
    </w:p>
  </w:footnote>
  <w:footnote w:type="continuationSeparator" w:id="0">
    <w:p w:rsidR="00000000" w:rsidRDefault="00DB2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C603A"/>
    <w:multiLevelType w:val="hybridMultilevel"/>
    <w:tmpl w:val="B40826F2"/>
    <w:lvl w:ilvl="0" w:tplc="8ACE8994">
      <w:start w:val="2"/>
      <w:numFmt w:val="lowerLetter"/>
      <w:lvlText w:val="(%1)"/>
      <w:lvlJc w:val="left"/>
      <w:pPr>
        <w:ind w:left="120" w:hanging="351"/>
      </w:pPr>
      <w:rPr>
        <w:rFonts w:ascii="Lucida Sans" w:eastAsia="Lucida Sans" w:hAnsi="Lucida Sans" w:cs="Lucida Sans" w:hint="default"/>
        <w:spacing w:val="-3"/>
        <w:w w:val="100"/>
        <w:sz w:val="22"/>
        <w:szCs w:val="22"/>
      </w:rPr>
    </w:lvl>
    <w:lvl w:ilvl="1" w:tplc="7344663E">
      <w:start w:val="1"/>
      <w:numFmt w:val="decimal"/>
      <w:lvlText w:val="(%2)"/>
      <w:lvlJc w:val="left"/>
      <w:pPr>
        <w:ind w:left="120" w:hanging="351"/>
      </w:pPr>
      <w:rPr>
        <w:rFonts w:ascii="Lucida Sans" w:eastAsia="Lucida Sans" w:hAnsi="Lucida Sans" w:cs="Lucida Sans" w:hint="default"/>
        <w:spacing w:val="-3"/>
        <w:w w:val="100"/>
        <w:sz w:val="22"/>
        <w:szCs w:val="22"/>
      </w:rPr>
    </w:lvl>
    <w:lvl w:ilvl="2" w:tplc="E9E6A69C">
      <w:numFmt w:val="bullet"/>
      <w:lvlText w:val=""/>
      <w:lvlJc w:val="left"/>
      <w:pPr>
        <w:ind w:left="840" w:hanging="360"/>
      </w:pPr>
      <w:rPr>
        <w:rFonts w:ascii="Symbol" w:eastAsia="Symbol" w:hAnsi="Symbol" w:cs="Symbol" w:hint="default"/>
        <w:w w:val="100"/>
        <w:sz w:val="24"/>
        <w:szCs w:val="24"/>
      </w:rPr>
    </w:lvl>
    <w:lvl w:ilvl="3" w:tplc="3E9A16BC">
      <w:numFmt w:val="bullet"/>
      <w:lvlText w:val="•"/>
      <w:lvlJc w:val="left"/>
      <w:pPr>
        <w:ind w:left="2968" w:hanging="360"/>
      </w:pPr>
      <w:rPr>
        <w:rFonts w:hint="default"/>
      </w:rPr>
    </w:lvl>
    <w:lvl w:ilvl="4" w:tplc="88F009EA">
      <w:numFmt w:val="bullet"/>
      <w:lvlText w:val="•"/>
      <w:lvlJc w:val="left"/>
      <w:pPr>
        <w:ind w:left="4033" w:hanging="360"/>
      </w:pPr>
      <w:rPr>
        <w:rFonts w:hint="default"/>
      </w:rPr>
    </w:lvl>
    <w:lvl w:ilvl="5" w:tplc="B644EEC6">
      <w:numFmt w:val="bullet"/>
      <w:lvlText w:val="•"/>
      <w:lvlJc w:val="left"/>
      <w:pPr>
        <w:ind w:left="5097" w:hanging="360"/>
      </w:pPr>
      <w:rPr>
        <w:rFonts w:hint="default"/>
      </w:rPr>
    </w:lvl>
    <w:lvl w:ilvl="6" w:tplc="B88EAF22">
      <w:numFmt w:val="bullet"/>
      <w:lvlText w:val="•"/>
      <w:lvlJc w:val="left"/>
      <w:pPr>
        <w:ind w:left="6162" w:hanging="360"/>
      </w:pPr>
      <w:rPr>
        <w:rFonts w:hint="default"/>
      </w:rPr>
    </w:lvl>
    <w:lvl w:ilvl="7" w:tplc="3BE4EF3A">
      <w:numFmt w:val="bullet"/>
      <w:lvlText w:val="•"/>
      <w:lvlJc w:val="left"/>
      <w:pPr>
        <w:ind w:left="7226" w:hanging="360"/>
      </w:pPr>
      <w:rPr>
        <w:rFonts w:hint="default"/>
      </w:rPr>
    </w:lvl>
    <w:lvl w:ilvl="8" w:tplc="13505542">
      <w:numFmt w:val="bullet"/>
      <w:lvlText w:val="•"/>
      <w:lvlJc w:val="left"/>
      <w:pPr>
        <w:ind w:left="829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22F80"/>
    <w:rsid w:val="00522F80"/>
    <w:rsid w:val="00DB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695404D7"/>
  <w15:docId w15:val="{3D75D1E3-B030-41B6-9BE5-2530EC06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line="292" w:lineRule="exact"/>
      <w:ind w:left="84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DB287C"/>
    <w:rPr>
      <w:color w:val="0000FF" w:themeColor="hyperlink"/>
      <w:u w:val="single"/>
    </w:rPr>
  </w:style>
  <w:style w:type="character" w:styleId="FollowedHyperlink">
    <w:name w:val="FollowedHyperlink"/>
    <w:basedOn w:val="DefaultParagraphFont"/>
    <w:uiPriority w:val="99"/>
    <w:semiHidden/>
    <w:unhideWhenUsed/>
    <w:rsid w:val="00DB28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472</Words>
  <Characters>2697</Characters>
  <Application>Microsoft Office Word</Application>
  <DocSecurity>0</DocSecurity>
  <Lines>22</Lines>
  <Paragraphs>6</Paragraphs>
  <ScaleCrop>false</ScaleCrop>
  <Company>Western Oregon University</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Windows User</cp:lastModifiedBy>
  <cp:revision>2</cp:revision>
  <dcterms:created xsi:type="dcterms:W3CDTF">2018-10-05T16:04:00Z</dcterms:created>
  <dcterms:modified xsi:type="dcterms:W3CDTF">2018-10-05T16:10:00Z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Acrobat PDFMaker 18 for Word</vt:lpwstr>
  </property>
  <property fmtid="{D5CDD505-2E9C-101B-9397-08002B2CF9AE}" pid="4" name="LastSaved">
    <vt:filetime>2018-10-05T00:00:00Z</vt:filetime>
  </property>
</Properties>
</file>