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B9162" w14:textId="77777777" w:rsidR="008E3844" w:rsidRDefault="007A05E6">
      <w:pPr>
        <w:tabs>
          <w:tab w:val="left" w:pos="9215"/>
        </w:tabs>
        <w:spacing w:before="81"/>
        <w:ind w:left="120"/>
        <w:rPr>
          <w:rFonts w:ascii="Franklin Gothic Medium"/>
          <w:sz w:val="44"/>
        </w:rPr>
      </w:pPr>
      <w:r>
        <w:rPr>
          <w:rFonts w:ascii="Franklin Gothic Medium"/>
          <w:color w:val="0070C0"/>
          <w:sz w:val="44"/>
        </w:rPr>
        <w:t>Agency Awareness</w:t>
      </w:r>
      <w:r>
        <w:rPr>
          <w:rFonts w:ascii="Franklin Gothic Medium"/>
          <w:color w:val="0070C0"/>
          <w:spacing w:val="-10"/>
          <w:sz w:val="44"/>
        </w:rPr>
        <w:t xml:space="preserve"> </w:t>
      </w:r>
      <w:r>
        <w:rPr>
          <w:rFonts w:ascii="Franklin Gothic Medium"/>
          <w:color w:val="0070C0"/>
          <w:sz w:val="44"/>
        </w:rPr>
        <w:t>and</w:t>
      </w:r>
      <w:r>
        <w:rPr>
          <w:rFonts w:ascii="Franklin Gothic Medium"/>
          <w:color w:val="0070C0"/>
          <w:spacing w:val="-5"/>
          <w:sz w:val="44"/>
        </w:rPr>
        <w:t xml:space="preserve"> </w:t>
      </w:r>
      <w:r>
        <w:rPr>
          <w:rFonts w:ascii="Franklin Gothic Medium"/>
          <w:color w:val="0070C0"/>
          <w:sz w:val="44"/>
        </w:rPr>
        <w:t>Attendance</w:t>
      </w:r>
      <w:r>
        <w:rPr>
          <w:rFonts w:ascii="Franklin Gothic Medium"/>
          <w:color w:val="0070C0"/>
          <w:sz w:val="44"/>
        </w:rPr>
        <w:tab/>
      </w:r>
      <w:r>
        <w:rPr>
          <w:rFonts w:ascii="Franklin Gothic Medium"/>
          <w:noProof/>
          <w:color w:val="0070C0"/>
          <w:position w:val="-20"/>
          <w:sz w:val="44"/>
        </w:rPr>
        <w:drawing>
          <wp:inline distT="0" distB="0" distL="0" distR="0" wp14:anchorId="62DF1C5C" wp14:editId="244FDD80">
            <wp:extent cx="603249" cy="36575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03249" cy="365759"/>
                    </a:xfrm>
                    <a:prstGeom prst="rect">
                      <a:avLst/>
                    </a:prstGeom>
                  </pic:spPr>
                </pic:pic>
              </a:graphicData>
            </a:graphic>
          </wp:inline>
        </w:drawing>
      </w:r>
    </w:p>
    <w:p w14:paraId="6BA568F1" w14:textId="77777777" w:rsidR="008E3844" w:rsidRDefault="007A05E6">
      <w:pPr>
        <w:pStyle w:val="Heading1"/>
        <w:tabs>
          <w:tab w:val="left" w:pos="7725"/>
        </w:tabs>
        <w:spacing w:before="128"/>
        <w:ind w:left="663"/>
        <w:rPr>
          <w:u w:val="none"/>
        </w:rPr>
      </w:pPr>
      <w:r>
        <w:rPr>
          <w:noProof/>
        </w:rPr>
        <w:drawing>
          <wp:anchor distT="0" distB="0" distL="0" distR="0" simplePos="0" relativeHeight="1024" behindDoc="0" locked="0" layoutInCell="1" allowOverlap="1" wp14:anchorId="26F13671" wp14:editId="0EC256B5">
            <wp:simplePos x="0" y="0"/>
            <wp:positionH relativeFrom="page">
              <wp:posOffset>914400</wp:posOffset>
            </wp:positionH>
            <wp:positionV relativeFrom="paragraph">
              <wp:posOffset>127051</wp:posOffset>
            </wp:positionV>
            <wp:extent cx="269874" cy="27422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69874" cy="274229"/>
                    </a:xfrm>
                    <a:prstGeom prst="rect">
                      <a:avLst/>
                    </a:prstGeom>
                  </pic:spPr>
                </pic:pic>
              </a:graphicData>
            </a:graphic>
          </wp:anchor>
        </w:drawing>
      </w:r>
      <w:r>
        <w:rPr>
          <w:color w:val="1EB050"/>
          <w:spacing w:val="-42"/>
          <w:u w:val="thick" w:color="1EB050"/>
        </w:rPr>
        <w:t xml:space="preserve"> </w:t>
      </w:r>
      <w:r>
        <w:rPr>
          <w:color w:val="1EB050"/>
          <w:u w:val="thick" w:color="1EB050"/>
        </w:rPr>
        <w:t>Law &amp;</w:t>
      </w:r>
      <w:r>
        <w:rPr>
          <w:color w:val="1EB050"/>
          <w:spacing w:val="-7"/>
          <w:u w:val="thick" w:color="1EB050"/>
        </w:rPr>
        <w:t xml:space="preserve"> </w:t>
      </w:r>
      <w:r>
        <w:rPr>
          <w:color w:val="1EB050"/>
          <w:u w:val="thick" w:color="1EB050"/>
        </w:rPr>
        <w:t>Guidelines</w:t>
      </w:r>
      <w:r>
        <w:rPr>
          <w:color w:val="1EB050"/>
          <w:u w:val="thick" w:color="1EB050"/>
        </w:rPr>
        <w:tab/>
      </w:r>
    </w:p>
    <w:p w14:paraId="43B7C7A2" w14:textId="77777777" w:rsidR="008E3844" w:rsidRDefault="008E3844">
      <w:pPr>
        <w:pStyle w:val="BodyText"/>
        <w:spacing w:before="6"/>
        <w:ind w:left="0" w:firstLine="0"/>
        <w:rPr>
          <w:rFonts w:ascii="Franklin Gothic Medium"/>
          <w:sz w:val="15"/>
        </w:rPr>
      </w:pPr>
    </w:p>
    <w:p w14:paraId="78232F25" w14:textId="77777777" w:rsidR="001B018F" w:rsidRDefault="007A05E6" w:rsidP="007A05E6">
      <w:pPr>
        <w:spacing w:before="100"/>
        <w:ind w:left="119" w:right="1217"/>
        <w:rPr>
          <w:sz w:val="23"/>
        </w:rPr>
      </w:pPr>
      <w:r>
        <w:rPr>
          <w:sz w:val="23"/>
        </w:rPr>
        <w:t>IDEA requires that a school district invite a student with a disability to their IEP meeting beginning not later than the first IEP to be in effect when the child turns 16.</w:t>
      </w:r>
    </w:p>
    <w:p w14:paraId="56B5AE1C" w14:textId="77777777" w:rsidR="001B018F" w:rsidRPr="001B018F" w:rsidRDefault="001B018F" w:rsidP="001B018F">
      <w:pPr>
        <w:pStyle w:val="Heading2"/>
        <w:spacing w:before="0"/>
        <w:rPr>
          <w:rFonts w:ascii="Lucida Sans Unicode" w:eastAsia="Times New Roman" w:hAnsi="Lucida Sans Unicode" w:cs="Lucida Sans Unicode"/>
          <w:i/>
          <w:color w:val="333333"/>
          <w:sz w:val="23"/>
          <w:szCs w:val="23"/>
        </w:rPr>
      </w:pPr>
      <w:r w:rsidRPr="001B018F">
        <w:rPr>
          <w:rFonts w:ascii="Lucida Sans Unicode" w:hAnsi="Lucida Sans Unicode" w:cs="Lucida Sans Unicode"/>
          <w:b/>
          <w:bCs/>
          <w:i/>
          <w:color w:val="333333"/>
          <w:sz w:val="23"/>
          <w:szCs w:val="23"/>
        </w:rPr>
        <w:t>§300.321   IEP Team.</w:t>
      </w:r>
    </w:p>
    <w:p w14:paraId="2ADB8DD9" w14:textId="77777777" w:rsidR="001B018F" w:rsidRPr="001B018F" w:rsidRDefault="001B018F" w:rsidP="001B018F">
      <w:pPr>
        <w:ind w:left="119" w:right="1217"/>
        <w:rPr>
          <w:rFonts w:ascii="Lucida Sans Unicode" w:hAnsi="Lucida Sans Unicode" w:cs="Lucida Sans Unicode"/>
          <w:i/>
          <w:color w:val="333333"/>
          <w:sz w:val="23"/>
          <w:szCs w:val="23"/>
          <w:shd w:val="clear" w:color="auto" w:fill="FFFFFF"/>
        </w:rPr>
      </w:pPr>
      <w:r w:rsidRPr="001B018F">
        <w:rPr>
          <w:rFonts w:ascii="Lucida Sans Unicode" w:hAnsi="Lucida Sans Unicode" w:cs="Lucida Sans Unicode"/>
          <w:i/>
          <w:color w:val="333333"/>
          <w:sz w:val="23"/>
          <w:szCs w:val="23"/>
          <w:shd w:val="clear" w:color="auto" w:fill="FFFFFF"/>
        </w:rPr>
        <w:t>(a) General. The public agency must ensure that the IEP Team for each child with a disability includes—</w:t>
      </w:r>
    </w:p>
    <w:p w14:paraId="468BE3A3" w14:textId="77777777" w:rsidR="001B018F" w:rsidRPr="001B018F" w:rsidRDefault="001B018F" w:rsidP="001B018F">
      <w:pPr>
        <w:spacing w:before="100"/>
        <w:ind w:left="119" w:right="1217"/>
        <w:rPr>
          <w:strike/>
          <w:sz w:val="23"/>
        </w:rPr>
      </w:pPr>
      <w:r w:rsidRPr="001B018F">
        <w:rPr>
          <w:rFonts w:ascii="Lucida Sans Unicode" w:hAnsi="Lucida Sans Unicode" w:cs="Lucida Sans Unicode"/>
          <w:i/>
          <w:color w:val="333333"/>
          <w:sz w:val="23"/>
          <w:szCs w:val="23"/>
          <w:shd w:val="clear" w:color="auto" w:fill="FFFFFF"/>
        </w:rPr>
        <w:t xml:space="preserve">(b)(3) To the extent appropriate, with the consent of the parents or a child who has reached the age of majority, in implementing the requirements of paragraph (b)(1) of this section, the public agency must invite a representative of any participating agency that is likely to be responsible for providing or paying for transition services.  </w:t>
      </w:r>
      <w:hyperlink r:id="rId9" w:history="1">
        <w:r w:rsidRPr="001B018F">
          <w:rPr>
            <w:rStyle w:val="Hyperlink"/>
            <w:rFonts w:ascii="Lucida Sans Unicode" w:hAnsi="Lucida Sans Unicode" w:cs="Lucida Sans Unicode"/>
            <w:sz w:val="23"/>
          </w:rPr>
          <w:t>https://ecfr.io/Title-34/se34.2.300_1321</w:t>
        </w:r>
      </w:hyperlink>
      <w:r w:rsidRPr="001B018F">
        <w:rPr>
          <w:rFonts w:ascii="Lucida Sans Unicode" w:hAnsi="Lucida Sans Unicode" w:cs="Lucida Sans Unicode"/>
          <w:sz w:val="23"/>
        </w:rPr>
        <w:t xml:space="preserve"> </w:t>
      </w:r>
    </w:p>
    <w:p w14:paraId="58AA8528" w14:textId="77777777" w:rsidR="001B018F" w:rsidRPr="001B018F" w:rsidRDefault="001B018F" w:rsidP="001B018F">
      <w:pPr>
        <w:spacing w:before="100"/>
        <w:ind w:left="119" w:right="1217"/>
        <w:rPr>
          <w:b/>
          <w:sz w:val="23"/>
        </w:rPr>
      </w:pPr>
      <w:r w:rsidRPr="001B018F">
        <w:rPr>
          <w:b/>
          <w:sz w:val="23"/>
        </w:rPr>
        <w:t>Guidelines</w:t>
      </w:r>
    </w:p>
    <w:p w14:paraId="7C7262D8" w14:textId="1834C835" w:rsidR="008E3844" w:rsidRPr="001B018F" w:rsidRDefault="007A05E6" w:rsidP="001B018F">
      <w:pPr>
        <w:spacing w:before="100"/>
        <w:ind w:left="119" w:right="1217"/>
        <w:rPr>
          <w:strike/>
          <w:sz w:val="23"/>
        </w:rPr>
      </w:pPr>
      <w:r w:rsidRPr="007A05E6">
        <w:rPr>
          <w:sz w:val="23"/>
        </w:rPr>
        <w:t>The school district must also identify any other agency (e.g. Vocational Rehabilitation, College-Disability Services, Independent Living Centers) that will be invited to send a representative to the IEP meeting. The school district must obtain parental consent before inviting representatives from other participating agencies to attend an IEP Team meeting. The representatives of these agencies should not have access to all the student’s records unless the parent gives consent for such a disclosure.</w:t>
      </w:r>
      <w:r w:rsidR="007D4DEB" w:rsidRPr="007D4DEB">
        <w:t xml:space="preserve"> </w:t>
      </w:r>
      <w:bookmarkStart w:id="0" w:name="_GoBack"/>
      <w:bookmarkEnd w:id="0"/>
    </w:p>
    <w:p w14:paraId="4B47063C" w14:textId="77777777" w:rsidR="008E3844" w:rsidRDefault="007A05E6">
      <w:pPr>
        <w:spacing w:before="118"/>
        <w:ind w:left="119" w:right="921"/>
        <w:rPr>
          <w:sz w:val="23"/>
        </w:rPr>
      </w:pPr>
      <w:r>
        <w:rPr>
          <w:sz w:val="23"/>
        </w:rPr>
        <w:t>Once the participating agency commits to transition services on the IEP, that agency is responsible to provide those services to the student. If a participating agency, other than the school district, FAILS to provide the transition services described in the IEP, the school district must reconvene the IEP Team to identify alternative strategies to meet the transition objectives for the student set out in the IEP. This does not mean that the school district must provide the identical services written on the IEP; it means the IEP Team must reconvene to identify alternative strategies to meet the transition</w:t>
      </w:r>
      <w:r>
        <w:rPr>
          <w:spacing w:val="-8"/>
          <w:sz w:val="23"/>
        </w:rPr>
        <w:t xml:space="preserve"> </w:t>
      </w:r>
      <w:r>
        <w:rPr>
          <w:sz w:val="23"/>
        </w:rPr>
        <w:t>objectives</w:t>
      </w:r>
    </w:p>
    <w:p w14:paraId="7EC6F8BF" w14:textId="77777777" w:rsidR="008E3844" w:rsidRDefault="007A05E6">
      <w:pPr>
        <w:pStyle w:val="Heading1"/>
        <w:rPr>
          <w:u w:val="none"/>
        </w:rPr>
      </w:pPr>
      <w:r>
        <w:rPr>
          <w:u w:val="none"/>
        </w:rPr>
        <w:t>Tips</w:t>
      </w:r>
    </w:p>
    <w:p w14:paraId="3241A622" w14:textId="77777777" w:rsidR="008E3844" w:rsidRDefault="007A05E6">
      <w:pPr>
        <w:spacing w:before="196"/>
        <w:ind w:left="264" w:right="1335"/>
        <w:rPr>
          <w:b/>
        </w:rPr>
      </w:pPr>
      <w:r>
        <w:rPr>
          <w:b/>
        </w:rPr>
        <w:t>Learn about the local agencies/partners that provide transition services after high school</w:t>
      </w:r>
    </w:p>
    <w:p w14:paraId="1B8F2BD0" w14:textId="77777777" w:rsidR="008E3844" w:rsidRDefault="008E3844">
      <w:pPr>
        <w:pStyle w:val="BodyText"/>
        <w:spacing w:before="6"/>
        <w:ind w:left="0" w:firstLine="0"/>
        <w:rPr>
          <w:b/>
          <w:sz w:val="13"/>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4"/>
        <w:gridCol w:w="3087"/>
        <w:gridCol w:w="2984"/>
      </w:tblGrid>
      <w:tr w:rsidR="008E3844" w14:paraId="6ED69955" w14:textId="77777777">
        <w:trPr>
          <w:trHeight w:val="402"/>
        </w:trPr>
        <w:tc>
          <w:tcPr>
            <w:tcW w:w="3394" w:type="dxa"/>
          </w:tcPr>
          <w:p w14:paraId="5E908CA6" w14:textId="77777777" w:rsidR="008E3844" w:rsidRDefault="007A05E6">
            <w:pPr>
              <w:pStyle w:val="TableParagraph"/>
              <w:spacing w:before="119" w:line="264" w:lineRule="exact"/>
              <w:ind w:left="357" w:firstLine="0"/>
              <w:rPr>
                <w:b/>
                <w:sz w:val="24"/>
              </w:rPr>
            </w:pPr>
            <w:r>
              <w:rPr>
                <w:b/>
                <w:sz w:val="24"/>
              </w:rPr>
              <w:t>Education or Training</w:t>
            </w:r>
          </w:p>
        </w:tc>
        <w:tc>
          <w:tcPr>
            <w:tcW w:w="3087" w:type="dxa"/>
          </w:tcPr>
          <w:p w14:paraId="6A709E15" w14:textId="77777777" w:rsidR="008E3844" w:rsidRDefault="007A05E6">
            <w:pPr>
              <w:pStyle w:val="TableParagraph"/>
              <w:spacing w:before="119" w:line="264" w:lineRule="exact"/>
              <w:ind w:left="774" w:firstLine="0"/>
              <w:rPr>
                <w:b/>
                <w:sz w:val="24"/>
              </w:rPr>
            </w:pPr>
            <w:r>
              <w:rPr>
                <w:b/>
                <w:sz w:val="24"/>
              </w:rPr>
              <w:t>Employment</w:t>
            </w:r>
          </w:p>
        </w:tc>
        <w:tc>
          <w:tcPr>
            <w:tcW w:w="2984" w:type="dxa"/>
          </w:tcPr>
          <w:p w14:paraId="7D6D8D67" w14:textId="77777777" w:rsidR="008E3844" w:rsidRDefault="007A05E6">
            <w:pPr>
              <w:pStyle w:val="TableParagraph"/>
              <w:spacing w:before="119" w:line="264" w:lineRule="exact"/>
              <w:ind w:left="301" w:firstLine="0"/>
              <w:rPr>
                <w:b/>
                <w:sz w:val="24"/>
              </w:rPr>
            </w:pPr>
            <w:r>
              <w:rPr>
                <w:b/>
                <w:sz w:val="24"/>
              </w:rPr>
              <w:t>Independent Living</w:t>
            </w:r>
          </w:p>
        </w:tc>
      </w:tr>
      <w:tr w:rsidR="008E3844" w14:paraId="78ED250F" w14:textId="77777777">
        <w:trPr>
          <w:trHeight w:val="4295"/>
        </w:trPr>
        <w:tc>
          <w:tcPr>
            <w:tcW w:w="3394" w:type="dxa"/>
          </w:tcPr>
          <w:p w14:paraId="39C547E4" w14:textId="77777777" w:rsidR="008E3844" w:rsidRDefault="007A05E6">
            <w:pPr>
              <w:pStyle w:val="TableParagraph"/>
              <w:numPr>
                <w:ilvl w:val="0"/>
                <w:numId w:val="3"/>
              </w:numPr>
              <w:tabs>
                <w:tab w:val="left" w:pos="827"/>
                <w:tab w:val="left" w:pos="828"/>
              </w:tabs>
              <w:spacing w:before="81"/>
              <w:ind w:right="298" w:hanging="360"/>
            </w:pPr>
            <w:r>
              <w:lastRenderedPageBreak/>
              <w:t xml:space="preserve">Community </w:t>
            </w:r>
            <w:r>
              <w:rPr>
                <w:spacing w:val="-1"/>
              </w:rPr>
              <w:t>Colleges/Universities</w:t>
            </w:r>
          </w:p>
          <w:p w14:paraId="6063D2F6" w14:textId="77777777" w:rsidR="008E3844" w:rsidRDefault="007A05E6">
            <w:pPr>
              <w:pStyle w:val="TableParagraph"/>
              <w:numPr>
                <w:ilvl w:val="0"/>
                <w:numId w:val="3"/>
              </w:numPr>
              <w:tabs>
                <w:tab w:val="left" w:pos="828"/>
                <w:tab w:val="left" w:pos="829"/>
              </w:tabs>
              <w:ind w:left="828" w:right="691" w:hanging="360"/>
            </w:pPr>
            <w:r>
              <w:rPr>
                <w:spacing w:val="-1"/>
              </w:rPr>
              <w:t xml:space="preserve">College-Disability </w:t>
            </w:r>
            <w:r>
              <w:t>Services</w:t>
            </w:r>
          </w:p>
          <w:p w14:paraId="70A11F1A" w14:textId="77777777" w:rsidR="008E3844" w:rsidRDefault="007A05E6">
            <w:pPr>
              <w:pStyle w:val="TableParagraph"/>
              <w:numPr>
                <w:ilvl w:val="0"/>
                <w:numId w:val="3"/>
              </w:numPr>
              <w:tabs>
                <w:tab w:val="left" w:pos="828"/>
                <w:tab w:val="left" w:pos="829"/>
              </w:tabs>
              <w:spacing w:line="268" w:lineRule="exact"/>
              <w:ind w:left="828" w:hanging="360"/>
            </w:pPr>
            <w:r>
              <w:t>Adult</w:t>
            </w:r>
            <w:r>
              <w:rPr>
                <w:spacing w:val="2"/>
              </w:rPr>
              <w:t xml:space="preserve"> </w:t>
            </w:r>
            <w:r>
              <w:t>Education</w:t>
            </w:r>
          </w:p>
          <w:p w14:paraId="70330C52" w14:textId="77777777" w:rsidR="008E3844" w:rsidRDefault="007A05E6">
            <w:pPr>
              <w:pStyle w:val="TableParagraph"/>
              <w:numPr>
                <w:ilvl w:val="0"/>
                <w:numId w:val="3"/>
              </w:numPr>
              <w:tabs>
                <w:tab w:val="left" w:pos="828"/>
                <w:tab w:val="left" w:pos="829"/>
              </w:tabs>
              <w:ind w:left="828" w:right="206" w:hanging="360"/>
            </w:pPr>
            <w:r>
              <w:t>Short Term Certification Community</w:t>
            </w:r>
            <w:r>
              <w:rPr>
                <w:spacing w:val="-9"/>
              </w:rPr>
              <w:t xml:space="preserve"> </w:t>
            </w:r>
            <w:r>
              <w:t>Education</w:t>
            </w:r>
          </w:p>
          <w:p w14:paraId="716CAAEF" w14:textId="77777777" w:rsidR="008E3844" w:rsidRDefault="007A05E6">
            <w:pPr>
              <w:pStyle w:val="TableParagraph"/>
              <w:numPr>
                <w:ilvl w:val="0"/>
                <w:numId w:val="3"/>
              </w:numPr>
              <w:tabs>
                <w:tab w:val="left" w:pos="828"/>
                <w:tab w:val="left" w:pos="829"/>
              </w:tabs>
              <w:spacing w:line="268" w:lineRule="exact"/>
              <w:ind w:left="828" w:hanging="360"/>
            </w:pPr>
            <w:r>
              <w:t>Military</w:t>
            </w:r>
          </w:p>
          <w:p w14:paraId="70E68A7B" w14:textId="77777777" w:rsidR="008E3844" w:rsidRDefault="007A05E6">
            <w:pPr>
              <w:pStyle w:val="TableParagraph"/>
              <w:numPr>
                <w:ilvl w:val="0"/>
                <w:numId w:val="3"/>
              </w:numPr>
              <w:tabs>
                <w:tab w:val="left" w:pos="828"/>
                <w:tab w:val="left" w:pos="829"/>
              </w:tabs>
              <w:spacing w:line="268" w:lineRule="exact"/>
              <w:ind w:left="828" w:hanging="360"/>
            </w:pPr>
            <w:r>
              <w:t>Technical</w:t>
            </w:r>
            <w:r>
              <w:rPr>
                <w:spacing w:val="-2"/>
              </w:rPr>
              <w:t xml:space="preserve"> </w:t>
            </w:r>
            <w:r>
              <w:t>Training</w:t>
            </w:r>
          </w:p>
        </w:tc>
        <w:tc>
          <w:tcPr>
            <w:tcW w:w="3087" w:type="dxa"/>
          </w:tcPr>
          <w:p w14:paraId="575B9408" w14:textId="77777777" w:rsidR="008E3844" w:rsidRDefault="007A05E6">
            <w:pPr>
              <w:pStyle w:val="TableParagraph"/>
              <w:numPr>
                <w:ilvl w:val="0"/>
                <w:numId w:val="2"/>
              </w:numPr>
              <w:tabs>
                <w:tab w:val="left" w:pos="827"/>
                <w:tab w:val="left" w:pos="828"/>
              </w:tabs>
              <w:spacing w:before="81"/>
              <w:ind w:right="775" w:hanging="360"/>
            </w:pPr>
            <w:r>
              <w:t xml:space="preserve">Vocational </w:t>
            </w:r>
            <w:r>
              <w:rPr>
                <w:spacing w:val="-1"/>
              </w:rPr>
              <w:t>Rehabilitation</w:t>
            </w:r>
          </w:p>
          <w:p w14:paraId="6F4AE0C7" w14:textId="77777777" w:rsidR="008E3844" w:rsidRDefault="007A05E6">
            <w:pPr>
              <w:pStyle w:val="TableParagraph"/>
              <w:numPr>
                <w:ilvl w:val="0"/>
                <w:numId w:val="2"/>
              </w:numPr>
              <w:tabs>
                <w:tab w:val="left" w:pos="827"/>
                <w:tab w:val="left" w:pos="829"/>
              </w:tabs>
              <w:ind w:left="828" w:right="692"/>
            </w:pPr>
            <w:r>
              <w:t xml:space="preserve">Department </w:t>
            </w:r>
            <w:r>
              <w:rPr>
                <w:spacing w:val="-10"/>
              </w:rPr>
              <w:t xml:space="preserve">of </w:t>
            </w:r>
            <w:r>
              <w:t>Labor</w:t>
            </w:r>
          </w:p>
          <w:p w14:paraId="269E2562" w14:textId="77777777" w:rsidR="008E3844" w:rsidRDefault="007A05E6">
            <w:pPr>
              <w:pStyle w:val="TableParagraph"/>
              <w:numPr>
                <w:ilvl w:val="0"/>
                <w:numId w:val="2"/>
              </w:numPr>
              <w:tabs>
                <w:tab w:val="left" w:pos="827"/>
                <w:tab w:val="left" w:pos="829"/>
              </w:tabs>
              <w:ind w:left="828" w:right="923"/>
            </w:pPr>
            <w:r>
              <w:rPr>
                <w:spacing w:val="-1"/>
              </w:rPr>
              <w:t xml:space="preserve">Employment </w:t>
            </w:r>
            <w:r>
              <w:t>Department</w:t>
            </w:r>
          </w:p>
          <w:p w14:paraId="1C0CFA71" w14:textId="77777777" w:rsidR="008E3844" w:rsidRDefault="007A05E6">
            <w:pPr>
              <w:pStyle w:val="TableParagraph"/>
              <w:numPr>
                <w:ilvl w:val="0"/>
                <w:numId w:val="2"/>
              </w:numPr>
              <w:tabs>
                <w:tab w:val="left" w:pos="827"/>
                <w:tab w:val="left" w:pos="829"/>
              </w:tabs>
              <w:ind w:left="828" w:right="632"/>
            </w:pPr>
            <w:r>
              <w:t xml:space="preserve">Work Source </w:t>
            </w:r>
            <w:r>
              <w:rPr>
                <w:spacing w:val="-9"/>
              </w:rPr>
              <w:t xml:space="preserve">of </w:t>
            </w:r>
            <w:r>
              <w:t>Oregon</w:t>
            </w:r>
          </w:p>
          <w:p w14:paraId="38F092B9" w14:textId="77777777" w:rsidR="008E3844" w:rsidRDefault="007A05E6">
            <w:pPr>
              <w:pStyle w:val="TableParagraph"/>
              <w:numPr>
                <w:ilvl w:val="0"/>
                <w:numId w:val="2"/>
              </w:numPr>
              <w:tabs>
                <w:tab w:val="left" w:pos="828"/>
                <w:tab w:val="left" w:pos="829"/>
              </w:tabs>
              <w:spacing w:line="268" w:lineRule="exact"/>
              <w:ind w:left="828" w:hanging="360"/>
            </w:pPr>
            <w:r>
              <w:t>Job</w:t>
            </w:r>
            <w:r>
              <w:rPr>
                <w:spacing w:val="-3"/>
              </w:rPr>
              <w:t xml:space="preserve"> </w:t>
            </w:r>
            <w:r>
              <w:t>Corps</w:t>
            </w:r>
          </w:p>
          <w:p w14:paraId="00399C9A" w14:textId="77777777" w:rsidR="008E3844" w:rsidRDefault="007A05E6">
            <w:pPr>
              <w:pStyle w:val="TableParagraph"/>
              <w:numPr>
                <w:ilvl w:val="0"/>
                <w:numId w:val="2"/>
              </w:numPr>
              <w:tabs>
                <w:tab w:val="left" w:pos="828"/>
                <w:tab w:val="left" w:pos="829"/>
              </w:tabs>
              <w:ind w:left="828" w:right="852" w:hanging="360"/>
            </w:pPr>
            <w:r>
              <w:t xml:space="preserve">Pre-ETS </w:t>
            </w:r>
            <w:r>
              <w:rPr>
                <w:spacing w:val="-1"/>
              </w:rPr>
              <w:t>Coordinators</w:t>
            </w:r>
          </w:p>
          <w:p w14:paraId="3D3967CF" w14:textId="77777777" w:rsidR="008E3844" w:rsidRDefault="007A05E6">
            <w:pPr>
              <w:pStyle w:val="TableParagraph"/>
              <w:numPr>
                <w:ilvl w:val="0"/>
                <w:numId w:val="2"/>
              </w:numPr>
              <w:tabs>
                <w:tab w:val="left" w:pos="828"/>
                <w:tab w:val="left" w:pos="829"/>
              </w:tabs>
              <w:ind w:left="828" w:right="236" w:hanging="360"/>
            </w:pPr>
            <w:r>
              <w:t xml:space="preserve">ODDS </w:t>
            </w:r>
            <w:r>
              <w:rPr>
                <w:spacing w:val="-4"/>
              </w:rPr>
              <w:t xml:space="preserve">Employment </w:t>
            </w:r>
            <w:r>
              <w:t>Specialist</w:t>
            </w:r>
          </w:p>
          <w:p w14:paraId="5E503BF4" w14:textId="77777777" w:rsidR="008E3844" w:rsidRDefault="007A05E6">
            <w:pPr>
              <w:pStyle w:val="TableParagraph"/>
              <w:numPr>
                <w:ilvl w:val="0"/>
                <w:numId w:val="2"/>
              </w:numPr>
              <w:tabs>
                <w:tab w:val="left" w:pos="828"/>
                <w:tab w:val="left" w:pos="829"/>
              </w:tabs>
              <w:ind w:left="828" w:right="99" w:hanging="360"/>
            </w:pPr>
            <w:r>
              <w:t>Transition</w:t>
            </w:r>
            <w:r>
              <w:rPr>
                <w:spacing w:val="-12"/>
              </w:rPr>
              <w:t xml:space="preserve"> </w:t>
            </w:r>
            <w:r>
              <w:t>Specialist (i.e.</w:t>
            </w:r>
            <w:r>
              <w:rPr>
                <w:spacing w:val="-2"/>
              </w:rPr>
              <w:t xml:space="preserve"> </w:t>
            </w:r>
            <w:r>
              <w:t>YTP)</w:t>
            </w:r>
          </w:p>
        </w:tc>
        <w:tc>
          <w:tcPr>
            <w:tcW w:w="2984" w:type="dxa"/>
          </w:tcPr>
          <w:p w14:paraId="4718DA01" w14:textId="77777777" w:rsidR="008E3844" w:rsidRDefault="007A05E6">
            <w:pPr>
              <w:pStyle w:val="TableParagraph"/>
              <w:numPr>
                <w:ilvl w:val="0"/>
                <w:numId w:val="1"/>
              </w:numPr>
              <w:tabs>
                <w:tab w:val="left" w:pos="828"/>
                <w:tab w:val="left" w:pos="829"/>
              </w:tabs>
              <w:spacing w:before="82"/>
              <w:ind w:right="528" w:hanging="360"/>
            </w:pPr>
            <w:r>
              <w:t>Social Services- DHS</w:t>
            </w:r>
          </w:p>
          <w:p w14:paraId="1F703474" w14:textId="77777777" w:rsidR="008E3844" w:rsidRDefault="007A05E6">
            <w:pPr>
              <w:pStyle w:val="TableParagraph"/>
              <w:numPr>
                <w:ilvl w:val="0"/>
                <w:numId w:val="1"/>
              </w:numPr>
              <w:tabs>
                <w:tab w:val="left" w:pos="828"/>
                <w:tab w:val="left" w:pos="829"/>
              </w:tabs>
              <w:spacing w:line="266" w:lineRule="exact"/>
              <w:ind w:hanging="360"/>
            </w:pPr>
            <w:r>
              <w:t>Social Security-</w:t>
            </w:r>
            <w:r>
              <w:rPr>
                <w:spacing w:val="-5"/>
              </w:rPr>
              <w:t xml:space="preserve"> </w:t>
            </w:r>
            <w:r>
              <w:t>SSI</w:t>
            </w:r>
          </w:p>
          <w:p w14:paraId="2E9902AF" w14:textId="77777777" w:rsidR="008E3844" w:rsidRDefault="007A05E6">
            <w:pPr>
              <w:pStyle w:val="TableParagraph"/>
              <w:numPr>
                <w:ilvl w:val="0"/>
                <w:numId w:val="1"/>
              </w:numPr>
              <w:tabs>
                <w:tab w:val="left" w:pos="828"/>
                <w:tab w:val="left" w:pos="829"/>
              </w:tabs>
              <w:spacing w:line="268" w:lineRule="exact"/>
              <w:ind w:hanging="360"/>
            </w:pPr>
            <w:r>
              <w:t>WIN/DRO</w:t>
            </w:r>
            <w:r>
              <w:rPr>
                <w:spacing w:val="-5"/>
              </w:rPr>
              <w:t xml:space="preserve"> </w:t>
            </w:r>
            <w:r>
              <w:t>benefits</w:t>
            </w:r>
          </w:p>
          <w:p w14:paraId="3F08C46C" w14:textId="77777777" w:rsidR="008E3844" w:rsidRDefault="007A05E6">
            <w:pPr>
              <w:pStyle w:val="TableParagraph"/>
              <w:numPr>
                <w:ilvl w:val="0"/>
                <w:numId w:val="1"/>
              </w:numPr>
              <w:tabs>
                <w:tab w:val="left" w:pos="828"/>
                <w:tab w:val="left" w:pos="829"/>
              </w:tabs>
              <w:spacing w:line="268" w:lineRule="exact"/>
              <w:ind w:hanging="360"/>
            </w:pPr>
            <w:r>
              <w:t>Housing</w:t>
            </w:r>
            <w:r>
              <w:rPr>
                <w:spacing w:val="-1"/>
              </w:rPr>
              <w:t xml:space="preserve"> </w:t>
            </w:r>
            <w:r>
              <w:t>Authority</w:t>
            </w:r>
          </w:p>
          <w:p w14:paraId="4E643CB3" w14:textId="77777777" w:rsidR="008E3844" w:rsidRDefault="007A05E6">
            <w:pPr>
              <w:pStyle w:val="TableParagraph"/>
              <w:numPr>
                <w:ilvl w:val="0"/>
                <w:numId w:val="1"/>
              </w:numPr>
              <w:tabs>
                <w:tab w:val="left" w:pos="828"/>
                <w:tab w:val="left" w:pos="829"/>
              </w:tabs>
              <w:ind w:right="431" w:hanging="360"/>
            </w:pPr>
            <w:r>
              <w:t xml:space="preserve">City and </w:t>
            </w:r>
            <w:r>
              <w:rPr>
                <w:spacing w:val="-3"/>
              </w:rPr>
              <w:t xml:space="preserve">County </w:t>
            </w:r>
            <w:r>
              <w:t>Housing</w:t>
            </w:r>
          </w:p>
          <w:p w14:paraId="76797438" w14:textId="77777777" w:rsidR="008E3844" w:rsidRDefault="007A05E6">
            <w:pPr>
              <w:pStyle w:val="TableParagraph"/>
              <w:numPr>
                <w:ilvl w:val="0"/>
                <w:numId w:val="1"/>
              </w:numPr>
              <w:tabs>
                <w:tab w:val="left" w:pos="829"/>
                <w:tab w:val="left" w:pos="830"/>
              </w:tabs>
              <w:ind w:left="829" w:right="760" w:hanging="360"/>
            </w:pPr>
            <w:r>
              <w:t xml:space="preserve">Health </w:t>
            </w:r>
            <w:r>
              <w:rPr>
                <w:spacing w:val="-1"/>
              </w:rPr>
              <w:t>Departments</w:t>
            </w:r>
          </w:p>
          <w:p w14:paraId="2C6C7657" w14:textId="77777777" w:rsidR="008E3844" w:rsidRDefault="007A05E6">
            <w:pPr>
              <w:pStyle w:val="TableParagraph"/>
              <w:numPr>
                <w:ilvl w:val="0"/>
                <w:numId w:val="1"/>
              </w:numPr>
              <w:tabs>
                <w:tab w:val="left" w:pos="829"/>
                <w:tab w:val="left" w:pos="830"/>
              </w:tabs>
              <w:ind w:left="829" w:right="102" w:hanging="360"/>
            </w:pPr>
            <w:r>
              <w:t>Independent Living Centers</w:t>
            </w:r>
          </w:p>
          <w:p w14:paraId="5804B3F5" w14:textId="77777777" w:rsidR="008E3844" w:rsidRDefault="007A05E6">
            <w:pPr>
              <w:pStyle w:val="TableParagraph"/>
              <w:numPr>
                <w:ilvl w:val="0"/>
                <w:numId w:val="1"/>
              </w:numPr>
              <w:tabs>
                <w:tab w:val="left" w:pos="826"/>
                <w:tab w:val="left" w:pos="827"/>
              </w:tabs>
              <w:ind w:left="826" w:right="464" w:hanging="360"/>
            </w:pPr>
            <w:r>
              <w:t>Public Transportation (i.e.</w:t>
            </w:r>
            <w:r>
              <w:rPr>
                <w:spacing w:val="-7"/>
              </w:rPr>
              <w:t xml:space="preserve"> </w:t>
            </w:r>
            <w:r>
              <w:t>Dial-a-Ride,</w:t>
            </w:r>
          </w:p>
          <w:p w14:paraId="47789B5D" w14:textId="77777777" w:rsidR="008E3844" w:rsidRDefault="007A05E6">
            <w:pPr>
              <w:pStyle w:val="TableParagraph"/>
              <w:spacing w:line="260" w:lineRule="atLeast"/>
              <w:ind w:left="826" w:right="497" w:hanging="1"/>
            </w:pPr>
            <w:r>
              <w:t>LIFT, Cherriots, Ride Source)</w:t>
            </w:r>
          </w:p>
        </w:tc>
      </w:tr>
    </w:tbl>
    <w:p w14:paraId="3CB3AE54" w14:textId="77777777" w:rsidR="008E3844" w:rsidRDefault="008E3844">
      <w:pPr>
        <w:spacing w:line="260" w:lineRule="atLeast"/>
        <w:sectPr w:rsidR="008E3844">
          <w:footerReference w:type="default" r:id="rId10"/>
          <w:type w:val="continuous"/>
          <w:pgSz w:w="12240" w:h="15840"/>
          <w:pgMar w:top="1320" w:right="540" w:bottom="1640" w:left="1320" w:header="720" w:footer="1458" w:gutter="0"/>
          <w:pgNumType w:start="18"/>
          <w:cols w:space="720"/>
        </w:sectPr>
      </w:pPr>
    </w:p>
    <w:p w14:paraId="5433AC59" w14:textId="77777777" w:rsidR="008E3844" w:rsidRDefault="007A05E6">
      <w:pPr>
        <w:tabs>
          <w:tab w:val="left" w:pos="9323"/>
        </w:tabs>
        <w:spacing w:line="549" w:lineRule="exact"/>
        <w:ind w:left="120"/>
        <w:rPr>
          <w:b/>
        </w:rPr>
      </w:pPr>
      <w:r>
        <w:rPr>
          <w:b/>
        </w:rPr>
        <w:lastRenderedPageBreak/>
        <w:t>Ideas for</w:t>
      </w:r>
      <w:r>
        <w:rPr>
          <w:b/>
          <w:spacing w:val="-10"/>
        </w:rPr>
        <w:t xml:space="preserve"> </w:t>
      </w:r>
      <w:r>
        <w:rPr>
          <w:b/>
        </w:rPr>
        <w:t>Identifying</w:t>
      </w:r>
      <w:r>
        <w:rPr>
          <w:b/>
          <w:spacing w:val="-2"/>
        </w:rPr>
        <w:t xml:space="preserve"> </w:t>
      </w:r>
      <w:r>
        <w:rPr>
          <w:b/>
        </w:rPr>
        <w:t>Agencies</w:t>
      </w:r>
      <w:r>
        <w:rPr>
          <w:b/>
        </w:rPr>
        <w:tab/>
      </w:r>
      <w:r>
        <w:rPr>
          <w:b/>
          <w:noProof/>
          <w:position w:val="-17"/>
        </w:rPr>
        <w:drawing>
          <wp:inline distT="0" distB="0" distL="0" distR="0" wp14:anchorId="5085266F" wp14:editId="1F205182">
            <wp:extent cx="603248" cy="365759"/>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7" cstate="print"/>
                    <a:stretch>
                      <a:fillRect/>
                    </a:stretch>
                  </pic:blipFill>
                  <pic:spPr>
                    <a:xfrm>
                      <a:off x="0" y="0"/>
                      <a:ext cx="603248" cy="365759"/>
                    </a:xfrm>
                    <a:prstGeom prst="rect">
                      <a:avLst/>
                    </a:prstGeom>
                  </pic:spPr>
                </pic:pic>
              </a:graphicData>
            </a:graphic>
          </wp:inline>
        </w:drawing>
      </w:r>
    </w:p>
    <w:p w14:paraId="5D67B862" w14:textId="77777777" w:rsidR="008E3844" w:rsidRDefault="007A05E6">
      <w:pPr>
        <w:pStyle w:val="ListParagraph"/>
        <w:numPr>
          <w:ilvl w:val="1"/>
          <w:numId w:val="4"/>
        </w:numPr>
        <w:tabs>
          <w:tab w:val="left" w:pos="839"/>
          <w:tab w:val="left" w:pos="840"/>
        </w:tabs>
        <w:spacing w:before="0" w:line="266" w:lineRule="exact"/>
        <w:rPr>
          <w:sz w:val="24"/>
        </w:rPr>
      </w:pPr>
      <w:r>
        <w:rPr>
          <w:sz w:val="24"/>
        </w:rPr>
        <w:t>Work with Transition Network Facilitator’s for ideas and resources</w:t>
      </w:r>
      <w:r>
        <w:rPr>
          <w:spacing w:val="-12"/>
          <w:sz w:val="24"/>
        </w:rPr>
        <w:t xml:space="preserve"> </w:t>
      </w:r>
      <w:r>
        <w:rPr>
          <w:sz w:val="24"/>
        </w:rPr>
        <w:t>to</w:t>
      </w:r>
    </w:p>
    <w:p w14:paraId="6F197093" w14:textId="77777777" w:rsidR="008E3844" w:rsidRDefault="007A05E6">
      <w:pPr>
        <w:pStyle w:val="BodyText"/>
        <w:spacing w:before="0" w:line="282" w:lineRule="exact"/>
        <w:ind w:left="839" w:firstLine="0"/>
      </w:pPr>
      <w:r>
        <w:t>learn which relationships they have made with community partners.</w:t>
      </w:r>
    </w:p>
    <w:p w14:paraId="3E00A399" w14:textId="77777777" w:rsidR="008E3844" w:rsidRDefault="007A05E6">
      <w:pPr>
        <w:pStyle w:val="ListParagraph"/>
        <w:numPr>
          <w:ilvl w:val="1"/>
          <w:numId w:val="4"/>
        </w:numPr>
        <w:tabs>
          <w:tab w:val="left" w:pos="839"/>
          <w:tab w:val="left" w:pos="840"/>
        </w:tabs>
        <w:spacing w:before="58"/>
        <w:rPr>
          <w:sz w:val="24"/>
        </w:rPr>
      </w:pPr>
      <w:r>
        <w:rPr>
          <w:sz w:val="24"/>
        </w:rPr>
        <w:t>Hold transition fairs. Contact your TNF for ideas and regional</w:t>
      </w:r>
      <w:r>
        <w:rPr>
          <w:spacing w:val="-9"/>
          <w:sz w:val="24"/>
        </w:rPr>
        <w:t xml:space="preserve"> </w:t>
      </w:r>
      <w:r>
        <w:rPr>
          <w:sz w:val="24"/>
        </w:rPr>
        <w:t>resources.</w:t>
      </w:r>
    </w:p>
    <w:p w14:paraId="39910983" w14:textId="77777777" w:rsidR="008E3844" w:rsidRDefault="007A05E6">
      <w:pPr>
        <w:pStyle w:val="ListParagraph"/>
        <w:numPr>
          <w:ilvl w:val="1"/>
          <w:numId w:val="4"/>
        </w:numPr>
        <w:tabs>
          <w:tab w:val="left" w:pos="839"/>
          <w:tab w:val="left" w:pos="840"/>
        </w:tabs>
        <w:ind w:right="1669"/>
        <w:rPr>
          <w:sz w:val="24"/>
        </w:rPr>
      </w:pPr>
      <w:r>
        <w:rPr>
          <w:sz w:val="24"/>
        </w:rPr>
        <w:t>Create community resource maps and information for students and parents to navigate</w:t>
      </w:r>
      <w:r>
        <w:rPr>
          <w:spacing w:val="-10"/>
          <w:sz w:val="24"/>
        </w:rPr>
        <w:t xml:space="preserve"> </w:t>
      </w:r>
      <w:r>
        <w:rPr>
          <w:sz w:val="24"/>
        </w:rPr>
        <w:t>transition.</w:t>
      </w:r>
    </w:p>
    <w:p w14:paraId="0C26B3C5" w14:textId="77777777" w:rsidR="008E3844" w:rsidRDefault="007A05E6">
      <w:pPr>
        <w:pStyle w:val="ListParagraph"/>
        <w:numPr>
          <w:ilvl w:val="1"/>
          <w:numId w:val="4"/>
        </w:numPr>
        <w:tabs>
          <w:tab w:val="left" w:pos="839"/>
          <w:tab w:val="left" w:pos="840"/>
        </w:tabs>
        <w:spacing w:before="57"/>
        <w:ind w:right="1102"/>
        <w:rPr>
          <w:sz w:val="24"/>
        </w:rPr>
      </w:pPr>
      <w:r>
        <w:rPr>
          <w:sz w:val="24"/>
        </w:rPr>
        <w:t>Learn about adult agencies, services and eligibility, and gather materials to share with students and</w:t>
      </w:r>
      <w:r>
        <w:rPr>
          <w:spacing w:val="-4"/>
          <w:sz w:val="24"/>
        </w:rPr>
        <w:t xml:space="preserve"> </w:t>
      </w:r>
      <w:r>
        <w:rPr>
          <w:sz w:val="24"/>
        </w:rPr>
        <w:t>families.</w:t>
      </w:r>
    </w:p>
    <w:p w14:paraId="43CB437D" w14:textId="77777777" w:rsidR="008E3844" w:rsidRDefault="007A05E6">
      <w:pPr>
        <w:pStyle w:val="ListParagraph"/>
        <w:numPr>
          <w:ilvl w:val="1"/>
          <w:numId w:val="4"/>
        </w:numPr>
        <w:tabs>
          <w:tab w:val="left" w:pos="839"/>
          <w:tab w:val="left" w:pos="840"/>
        </w:tabs>
        <w:rPr>
          <w:sz w:val="24"/>
        </w:rPr>
      </w:pPr>
      <w:r>
        <w:rPr>
          <w:sz w:val="24"/>
        </w:rPr>
        <w:t>Take advantage of cross-training opportunities between</w:t>
      </w:r>
      <w:r>
        <w:rPr>
          <w:spacing w:val="-5"/>
          <w:sz w:val="24"/>
        </w:rPr>
        <w:t xml:space="preserve"> </w:t>
      </w:r>
      <w:r>
        <w:rPr>
          <w:sz w:val="24"/>
        </w:rPr>
        <w:t>agencies.</w:t>
      </w:r>
    </w:p>
    <w:p w14:paraId="67E8F1B8" w14:textId="77777777" w:rsidR="008E3844" w:rsidRDefault="007A05E6">
      <w:pPr>
        <w:pStyle w:val="ListParagraph"/>
        <w:numPr>
          <w:ilvl w:val="1"/>
          <w:numId w:val="4"/>
        </w:numPr>
        <w:tabs>
          <w:tab w:val="left" w:pos="839"/>
          <w:tab w:val="left" w:pos="840"/>
        </w:tabs>
        <w:spacing w:before="57"/>
        <w:ind w:right="1504"/>
        <w:rPr>
          <w:sz w:val="24"/>
        </w:rPr>
      </w:pPr>
      <w:r>
        <w:rPr>
          <w:sz w:val="24"/>
        </w:rPr>
        <w:t>Develop procedures and plans to address the needs of students with disabilities, and barriers they may face during the transition</w:t>
      </w:r>
      <w:r>
        <w:rPr>
          <w:spacing w:val="-27"/>
          <w:sz w:val="24"/>
        </w:rPr>
        <w:t xml:space="preserve"> </w:t>
      </w:r>
      <w:r>
        <w:rPr>
          <w:sz w:val="24"/>
        </w:rPr>
        <w:t>process.</w:t>
      </w:r>
    </w:p>
    <w:p w14:paraId="6E8DFB7B" w14:textId="77777777" w:rsidR="008E3844" w:rsidRDefault="007A05E6">
      <w:pPr>
        <w:pStyle w:val="ListParagraph"/>
        <w:numPr>
          <w:ilvl w:val="1"/>
          <w:numId w:val="4"/>
        </w:numPr>
        <w:tabs>
          <w:tab w:val="left" w:pos="839"/>
          <w:tab w:val="left" w:pos="840"/>
        </w:tabs>
        <w:ind w:right="1731"/>
        <w:rPr>
          <w:sz w:val="24"/>
        </w:rPr>
      </w:pPr>
      <w:r>
        <w:rPr>
          <w:sz w:val="24"/>
        </w:rPr>
        <w:t xml:space="preserve">Develop a systematic way </w:t>
      </w:r>
      <w:r>
        <w:rPr>
          <w:spacing w:val="3"/>
          <w:sz w:val="24"/>
        </w:rPr>
        <w:t xml:space="preserve">to </w:t>
      </w:r>
      <w:r>
        <w:rPr>
          <w:sz w:val="24"/>
        </w:rPr>
        <w:t>invite agencies that the student</w:t>
      </w:r>
      <w:r>
        <w:rPr>
          <w:spacing w:val="-41"/>
          <w:sz w:val="24"/>
        </w:rPr>
        <w:t xml:space="preserve"> </w:t>
      </w:r>
      <w:r>
        <w:rPr>
          <w:sz w:val="24"/>
        </w:rPr>
        <w:t>would possibly access after high</w:t>
      </w:r>
      <w:r>
        <w:rPr>
          <w:spacing w:val="-8"/>
          <w:sz w:val="24"/>
        </w:rPr>
        <w:t xml:space="preserve"> </w:t>
      </w:r>
      <w:r>
        <w:rPr>
          <w:sz w:val="24"/>
        </w:rPr>
        <w:t>school.</w:t>
      </w:r>
    </w:p>
    <w:p w14:paraId="57F57D24" w14:textId="77777777" w:rsidR="008E3844" w:rsidRDefault="007A05E6">
      <w:pPr>
        <w:pStyle w:val="ListParagraph"/>
        <w:numPr>
          <w:ilvl w:val="1"/>
          <w:numId w:val="4"/>
        </w:numPr>
        <w:tabs>
          <w:tab w:val="left" w:pos="839"/>
          <w:tab w:val="left" w:pos="840"/>
        </w:tabs>
        <w:spacing w:before="57"/>
        <w:ind w:right="959"/>
        <w:rPr>
          <w:sz w:val="24"/>
        </w:rPr>
      </w:pPr>
      <w:r>
        <w:rPr>
          <w:sz w:val="24"/>
        </w:rPr>
        <w:t>Learn from community partners. What does the student or parent need to get ready for the post-school environment, community college, trade school, or local</w:t>
      </w:r>
      <w:r>
        <w:rPr>
          <w:spacing w:val="-3"/>
          <w:sz w:val="24"/>
        </w:rPr>
        <w:t xml:space="preserve"> </w:t>
      </w:r>
      <w:r>
        <w:rPr>
          <w:sz w:val="24"/>
        </w:rPr>
        <w:t>businesses?</w:t>
      </w:r>
    </w:p>
    <w:p w14:paraId="7FCEB7CC" w14:textId="77777777" w:rsidR="008E3844" w:rsidRDefault="007A05E6">
      <w:pPr>
        <w:pStyle w:val="ListParagraph"/>
        <w:numPr>
          <w:ilvl w:val="1"/>
          <w:numId w:val="4"/>
        </w:numPr>
        <w:tabs>
          <w:tab w:val="left" w:pos="839"/>
          <w:tab w:val="left" w:pos="840"/>
        </w:tabs>
        <w:spacing w:before="57"/>
        <w:rPr>
          <w:sz w:val="24"/>
        </w:rPr>
      </w:pPr>
      <w:r>
        <w:rPr>
          <w:sz w:val="24"/>
        </w:rPr>
        <w:t>Get involved with local Employment First</w:t>
      </w:r>
      <w:r>
        <w:rPr>
          <w:spacing w:val="9"/>
          <w:sz w:val="24"/>
        </w:rPr>
        <w:t xml:space="preserve"> </w:t>
      </w:r>
      <w:r>
        <w:rPr>
          <w:sz w:val="24"/>
        </w:rPr>
        <w:t>programs.</w:t>
      </w:r>
    </w:p>
    <w:p w14:paraId="386E18A0" w14:textId="77777777" w:rsidR="008E3844" w:rsidRDefault="007A05E6">
      <w:pPr>
        <w:pStyle w:val="ListParagraph"/>
        <w:numPr>
          <w:ilvl w:val="1"/>
          <w:numId w:val="4"/>
        </w:numPr>
        <w:tabs>
          <w:tab w:val="left" w:pos="839"/>
          <w:tab w:val="left" w:pos="840"/>
        </w:tabs>
        <w:rPr>
          <w:sz w:val="24"/>
        </w:rPr>
      </w:pPr>
      <w:r>
        <w:rPr>
          <w:sz w:val="24"/>
        </w:rPr>
        <w:t>Guidance from ODE for Agency</w:t>
      </w:r>
      <w:r>
        <w:rPr>
          <w:spacing w:val="-5"/>
          <w:sz w:val="24"/>
        </w:rPr>
        <w:t xml:space="preserve"> </w:t>
      </w:r>
      <w:r>
        <w:rPr>
          <w:sz w:val="24"/>
        </w:rPr>
        <w:t>Attendance</w:t>
      </w:r>
    </w:p>
    <w:p w14:paraId="72B3945A" w14:textId="77777777" w:rsidR="008E3844" w:rsidRDefault="007A05E6">
      <w:pPr>
        <w:pStyle w:val="ListParagraph"/>
        <w:numPr>
          <w:ilvl w:val="1"/>
          <w:numId w:val="4"/>
        </w:numPr>
        <w:tabs>
          <w:tab w:val="left" w:pos="839"/>
          <w:tab w:val="left" w:pos="840"/>
        </w:tabs>
        <w:spacing w:before="61" w:line="237" w:lineRule="auto"/>
        <w:ind w:right="1709"/>
        <w:rPr>
          <w:sz w:val="24"/>
        </w:rPr>
      </w:pPr>
      <w:r>
        <w:rPr>
          <w:sz w:val="24"/>
        </w:rPr>
        <w:t>In August look at your caseload and decide which students on</w:t>
      </w:r>
      <w:r>
        <w:rPr>
          <w:spacing w:val="-28"/>
          <w:sz w:val="24"/>
        </w:rPr>
        <w:t xml:space="preserve"> </w:t>
      </w:r>
      <w:r>
        <w:rPr>
          <w:sz w:val="24"/>
        </w:rPr>
        <w:t>your caseload should have agencies represented at their IEP</w:t>
      </w:r>
      <w:r>
        <w:rPr>
          <w:spacing w:val="-19"/>
          <w:sz w:val="24"/>
        </w:rPr>
        <w:t xml:space="preserve"> </w:t>
      </w:r>
      <w:r>
        <w:rPr>
          <w:sz w:val="24"/>
        </w:rPr>
        <w:t>meeting.</w:t>
      </w:r>
    </w:p>
    <w:p w14:paraId="6E4F45EA" w14:textId="77777777" w:rsidR="008E3844" w:rsidRDefault="007A05E6">
      <w:pPr>
        <w:pStyle w:val="ListParagraph"/>
        <w:numPr>
          <w:ilvl w:val="1"/>
          <w:numId w:val="4"/>
        </w:numPr>
        <w:tabs>
          <w:tab w:val="left" w:pos="839"/>
          <w:tab w:val="left" w:pos="840"/>
        </w:tabs>
        <w:spacing w:before="61"/>
        <w:ind w:right="1020"/>
        <w:rPr>
          <w:sz w:val="24"/>
        </w:rPr>
      </w:pPr>
      <w:r>
        <w:rPr>
          <w:sz w:val="24"/>
        </w:rPr>
        <w:t>When scheduling IEP meetings obtain required written parent/guardian consent before inviting representatives from other participating agencies to attend an IEP Team meeting. The representatives of these agencies cannot access all the student’s records unless the parent, or adult student, gives consent for such a</w:t>
      </w:r>
      <w:r>
        <w:rPr>
          <w:spacing w:val="-2"/>
          <w:sz w:val="24"/>
        </w:rPr>
        <w:t xml:space="preserve"> </w:t>
      </w:r>
      <w:r>
        <w:rPr>
          <w:sz w:val="24"/>
        </w:rPr>
        <w:t>disclosure.</w:t>
      </w:r>
    </w:p>
    <w:p w14:paraId="723A20B5" w14:textId="77777777" w:rsidR="008E3844" w:rsidRDefault="007A05E6">
      <w:pPr>
        <w:pStyle w:val="ListParagraph"/>
        <w:numPr>
          <w:ilvl w:val="1"/>
          <w:numId w:val="4"/>
        </w:numPr>
        <w:tabs>
          <w:tab w:val="left" w:pos="840"/>
        </w:tabs>
        <w:spacing w:before="58"/>
        <w:ind w:right="918"/>
        <w:jc w:val="both"/>
        <w:rPr>
          <w:sz w:val="24"/>
        </w:rPr>
      </w:pPr>
      <w:r>
        <w:rPr>
          <w:sz w:val="24"/>
        </w:rPr>
        <w:t>Schedule IEP meetings with other agency representatives early in the</w:t>
      </w:r>
      <w:r>
        <w:rPr>
          <w:spacing w:val="-35"/>
          <w:sz w:val="24"/>
        </w:rPr>
        <w:t xml:space="preserve"> </w:t>
      </w:r>
      <w:r>
        <w:rPr>
          <w:sz w:val="24"/>
        </w:rPr>
        <w:t>year. Agency representatives have full schedules and may not be able to attend meetings with a short</w:t>
      </w:r>
      <w:r>
        <w:rPr>
          <w:spacing w:val="-1"/>
          <w:sz w:val="24"/>
        </w:rPr>
        <w:t xml:space="preserve"> </w:t>
      </w:r>
      <w:r>
        <w:rPr>
          <w:sz w:val="24"/>
        </w:rPr>
        <w:t>notice.</w:t>
      </w:r>
    </w:p>
    <w:p w14:paraId="3B05C5F3" w14:textId="77777777" w:rsidR="008E3844" w:rsidRDefault="008E3844">
      <w:pPr>
        <w:pStyle w:val="BodyText"/>
        <w:spacing w:before="4"/>
        <w:ind w:left="0" w:firstLine="0"/>
        <w:rPr>
          <w:sz w:val="40"/>
        </w:rPr>
      </w:pPr>
    </w:p>
    <w:p w14:paraId="6787E167" w14:textId="77777777" w:rsidR="008E3844" w:rsidRDefault="007A05E6">
      <w:pPr>
        <w:ind w:left="120"/>
      </w:pPr>
      <w:r>
        <w:t>Please look at pages 47-56 for a list of Agency Resources.</w:t>
      </w:r>
    </w:p>
    <w:sectPr w:rsidR="008E3844">
      <w:pgSz w:w="12240" w:h="15840"/>
      <w:pgMar w:top="1260" w:right="540" w:bottom="1640" w:left="1320" w:header="0" w:footer="14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C838E" w14:textId="77777777" w:rsidR="008B5DDD" w:rsidRDefault="008B5DDD">
      <w:r>
        <w:separator/>
      </w:r>
    </w:p>
  </w:endnote>
  <w:endnote w:type="continuationSeparator" w:id="0">
    <w:p w14:paraId="7EFEE02C" w14:textId="77777777" w:rsidR="008B5DDD" w:rsidRDefault="008B5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A47AA" w14:textId="77777777" w:rsidR="008E3844" w:rsidRDefault="008B5DDD">
    <w:pPr>
      <w:pStyle w:val="BodyText"/>
      <w:spacing w:before="0" w:line="14" w:lineRule="auto"/>
      <w:ind w:left="0" w:firstLine="0"/>
      <w:rPr>
        <w:sz w:val="20"/>
      </w:rPr>
    </w:pPr>
    <w:r>
      <w:pict w14:anchorId="422BDE04">
        <v:shapetype id="_x0000_t202" coordsize="21600,21600" o:spt="202" path="m,l,21600r21600,l21600,xe">
          <v:stroke joinstyle="miter"/>
          <v:path gradientshapeok="t" o:connecttype="rect"/>
        </v:shapetype>
        <v:shape id="_x0000_s2049" type="#_x0000_t202" style="position:absolute;margin-left:297.05pt;margin-top:708.1pt;width:17.95pt;height:15.05pt;z-index:-251658752;mso-position-horizontal-relative:page;mso-position-vertical-relative:page" filled="f" stroked="f">
          <v:textbox inset="0,0,0,0">
            <w:txbxContent>
              <w:p w14:paraId="27F128BB" w14:textId="5CB1DF67" w:rsidR="008E3844" w:rsidRDefault="007A05E6">
                <w:pPr>
                  <w:spacing w:before="20"/>
                  <w:ind w:left="40"/>
                </w:pPr>
                <w:r>
                  <w:fldChar w:fldCharType="begin"/>
                </w:r>
                <w:r>
                  <w:instrText xml:space="preserve"> PAGE </w:instrText>
                </w:r>
                <w:r>
                  <w:fldChar w:fldCharType="separate"/>
                </w:r>
                <w:r w:rsidR="00EC6A1D">
                  <w:rPr>
                    <w:noProof/>
                  </w:rPr>
                  <w:t>18</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69025" w14:textId="77777777" w:rsidR="008B5DDD" w:rsidRDefault="008B5DDD">
      <w:r>
        <w:separator/>
      </w:r>
    </w:p>
  </w:footnote>
  <w:footnote w:type="continuationSeparator" w:id="0">
    <w:p w14:paraId="4F35C899" w14:textId="77777777" w:rsidR="008B5DDD" w:rsidRDefault="008B5D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D42B9"/>
    <w:multiLevelType w:val="hybridMultilevel"/>
    <w:tmpl w:val="E0640208"/>
    <w:lvl w:ilvl="0" w:tplc="5ED8EE44">
      <w:numFmt w:val="bullet"/>
      <w:lvlText w:val=""/>
      <w:lvlJc w:val="left"/>
      <w:pPr>
        <w:ind w:left="827" w:hanging="361"/>
      </w:pPr>
      <w:rPr>
        <w:rFonts w:ascii="Symbol" w:eastAsia="Symbol" w:hAnsi="Symbol" w:cs="Symbol" w:hint="default"/>
        <w:w w:val="100"/>
        <w:sz w:val="22"/>
        <w:szCs w:val="22"/>
      </w:rPr>
    </w:lvl>
    <w:lvl w:ilvl="1" w:tplc="6706D4F2">
      <w:numFmt w:val="bullet"/>
      <w:lvlText w:val="•"/>
      <w:lvlJc w:val="left"/>
      <w:pPr>
        <w:ind w:left="1076" w:hanging="361"/>
      </w:pPr>
      <w:rPr>
        <w:rFonts w:hint="default"/>
      </w:rPr>
    </w:lvl>
    <w:lvl w:ilvl="2" w:tplc="E71250B2">
      <w:numFmt w:val="bullet"/>
      <w:lvlText w:val="•"/>
      <w:lvlJc w:val="left"/>
      <w:pPr>
        <w:ind w:left="1332" w:hanging="361"/>
      </w:pPr>
      <w:rPr>
        <w:rFonts w:hint="default"/>
      </w:rPr>
    </w:lvl>
    <w:lvl w:ilvl="3" w:tplc="167C19E6">
      <w:numFmt w:val="bullet"/>
      <w:lvlText w:val="•"/>
      <w:lvlJc w:val="left"/>
      <w:pPr>
        <w:ind w:left="1589" w:hanging="361"/>
      </w:pPr>
      <w:rPr>
        <w:rFonts w:hint="default"/>
      </w:rPr>
    </w:lvl>
    <w:lvl w:ilvl="4" w:tplc="D9566852">
      <w:numFmt w:val="bullet"/>
      <w:lvlText w:val="•"/>
      <w:lvlJc w:val="left"/>
      <w:pPr>
        <w:ind w:left="1845" w:hanging="361"/>
      </w:pPr>
      <w:rPr>
        <w:rFonts w:hint="default"/>
      </w:rPr>
    </w:lvl>
    <w:lvl w:ilvl="5" w:tplc="859A0552">
      <w:numFmt w:val="bullet"/>
      <w:lvlText w:val="•"/>
      <w:lvlJc w:val="left"/>
      <w:pPr>
        <w:ind w:left="2102" w:hanging="361"/>
      </w:pPr>
      <w:rPr>
        <w:rFonts w:hint="default"/>
      </w:rPr>
    </w:lvl>
    <w:lvl w:ilvl="6" w:tplc="7DC8BF2A">
      <w:numFmt w:val="bullet"/>
      <w:lvlText w:val="•"/>
      <w:lvlJc w:val="left"/>
      <w:pPr>
        <w:ind w:left="2358" w:hanging="361"/>
      </w:pPr>
      <w:rPr>
        <w:rFonts w:hint="default"/>
      </w:rPr>
    </w:lvl>
    <w:lvl w:ilvl="7" w:tplc="29F625DA">
      <w:numFmt w:val="bullet"/>
      <w:lvlText w:val="•"/>
      <w:lvlJc w:val="left"/>
      <w:pPr>
        <w:ind w:left="2614" w:hanging="361"/>
      </w:pPr>
      <w:rPr>
        <w:rFonts w:hint="default"/>
      </w:rPr>
    </w:lvl>
    <w:lvl w:ilvl="8" w:tplc="918E819A">
      <w:numFmt w:val="bullet"/>
      <w:lvlText w:val="•"/>
      <w:lvlJc w:val="left"/>
      <w:pPr>
        <w:ind w:left="2871" w:hanging="361"/>
      </w:pPr>
      <w:rPr>
        <w:rFonts w:hint="default"/>
      </w:rPr>
    </w:lvl>
  </w:abstractNum>
  <w:abstractNum w:abstractNumId="1" w15:restartNumberingAfterBreak="0">
    <w:nsid w:val="3F944F99"/>
    <w:multiLevelType w:val="hybridMultilevel"/>
    <w:tmpl w:val="B8B0A96A"/>
    <w:lvl w:ilvl="0" w:tplc="D728C54E">
      <w:start w:val="16"/>
      <w:numFmt w:val="decimal"/>
      <w:lvlText w:val="%1."/>
      <w:lvlJc w:val="left"/>
      <w:pPr>
        <w:ind w:left="119" w:hanging="512"/>
        <w:jc w:val="left"/>
      </w:pPr>
      <w:rPr>
        <w:rFonts w:ascii="Lucida Sans" w:eastAsia="Lucida Sans" w:hAnsi="Lucida Sans" w:cs="Lucida Sans" w:hint="default"/>
        <w:w w:val="100"/>
        <w:sz w:val="23"/>
        <w:szCs w:val="23"/>
      </w:rPr>
    </w:lvl>
    <w:lvl w:ilvl="1" w:tplc="FC54ECD6">
      <w:numFmt w:val="bullet"/>
      <w:lvlText w:val=""/>
      <w:lvlJc w:val="left"/>
      <w:pPr>
        <w:ind w:left="840" w:hanging="360"/>
      </w:pPr>
      <w:rPr>
        <w:rFonts w:ascii="Symbol" w:eastAsia="Symbol" w:hAnsi="Symbol" w:cs="Symbol" w:hint="default"/>
        <w:w w:val="100"/>
        <w:sz w:val="24"/>
        <w:szCs w:val="24"/>
      </w:rPr>
    </w:lvl>
    <w:lvl w:ilvl="2" w:tplc="91A03A74">
      <w:numFmt w:val="bullet"/>
      <w:lvlText w:val="•"/>
      <w:lvlJc w:val="left"/>
      <w:pPr>
        <w:ind w:left="1900" w:hanging="360"/>
      </w:pPr>
      <w:rPr>
        <w:rFonts w:hint="default"/>
      </w:rPr>
    </w:lvl>
    <w:lvl w:ilvl="3" w:tplc="DC541372">
      <w:numFmt w:val="bullet"/>
      <w:lvlText w:val="•"/>
      <w:lvlJc w:val="left"/>
      <w:pPr>
        <w:ind w:left="2960" w:hanging="360"/>
      </w:pPr>
      <w:rPr>
        <w:rFonts w:hint="default"/>
      </w:rPr>
    </w:lvl>
    <w:lvl w:ilvl="4" w:tplc="72DA7136">
      <w:numFmt w:val="bullet"/>
      <w:lvlText w:val="•"/>
      <w:lvlJc w:val="left"/>
      <w:pPr>
        <w:ind w:left="4020" w:hanging="360"/>
      </w:pPr>
      <w:rPr>
        <w:rFonts w:hint="default"/>
      </w:rPr>
    </w:lvl>
    <w:lvl w:ilvl="5" w:tplc="C9102730">
      <w:numFmt w:val="bullet"/>
      <w:lvlText w:val="•"/>
      <w:lvlJc w:val="left"/>
      <w:pPr>
        <w:ind w:left="5080" w:hanging="360"/>
      </w:pPr>
      <w:rPr>
        <w:rFonts w:hint="default"/>
      </w:rPr>
    </w:lvl>
    <w:lvl w:ilvl="6" w:tplc="C334481E">
      <w:numFmt w:val="bullet"/>
      <w:lvlText w:val="•"/>
      <w:lvlJc w:val="left"/>
      <w:pPr>
        <w:ind w:left="6140" w:hanging="360"/>
      </w:pPr>
      <w:rPr>
        <w:rFonts w:hint="default"/>
      </w:rPr>
    </w:lvl>
    <w:lvl w:ilvl="7" w:tplc="0C3CB1B0">
      <w:numFmt w:val="bullet"/>
      <w:lvlText w:val="•"/>
      <w:lvlJc w:val="left"/>
      <w:pPr>
        <w:ind w:left="7200" w:hanging="360"/>
      </w:pPr>
      <w:rPr>
        <w:rFonts w:hint="default"/>
      </w:rPr>
    </w:lvl>
    <w:lvl w:ilvl="8" w:tplc="2E9A5510">
      <w:numFmt w:val="bullet"/>
      <w:lvlText w:val="•"/>
      <w:lvlJc w:val="left"/>
      <w:pPr>
        <w:ind w:left="8260" w:hanging="360"/>
      </w:pPr>
      <w:rPr>
        <w:rFonts w:hint="default"/>
      </w:rPr>
    </w:lvl>
  </w:abstractNum>
  <w:abstractNum w:abstractNumId="2" w15:restartNumberingAfterBreak="0">
    <w:nsid w:val="5097008A"/>
    <w:multiLevelType w:val="hybridMultilevel"/>
    <w:tmpl w:val="DB0ABB08"/>
    <w:lvl w:ilvl="0" w:tplc="CA8E4DC6">
      <w:numFmt w:val="bullet"/>
      <w:lvlText w:val=""/>
      <w:lvlJc w:val="left"/>
      <w:pPr>
        <w:ind w:left="827" w:hanging="361"/>
      </w:pPr>
      <w:rPr>
        <w:rFonts w:ascii="Symbol" w:eastAsia="Symbol" w:hAnsi="Symbol" w:cs="Symbol" w:hint="default"/>
        <w:w w:val="100"/>
        <w:sz w:val="22"/>
        <w:szCs w:val="22"/>
      </w:rPr>
    </w:lvl>
    <w:lvl w:ilvl="1" w:tplc="1BB44DBC">
      <w:numFmt w:val="bullet"/>
      <w:lvlText w:val="•"/>
      <w:lvlJc w:val="left"/>
      <w:pPr>
        <w:ind w:left="1045" w:hanging="361"/>
      </w:pPr>
      <w:rPr>
        <w:rFonts w:hint="default"/>
      </w:rPr>
    </w:lvl>
    <w:lvl w:ilvl="2" w:tplc="AB426C8A">
      <w:numFmt w:val="bullet"/>
      <w:lvlText w:val="•"/>
      <w:lvlJc w:val="left"/>
      <w:pPr>
        <w:ind w:left="1271" w:hanging="361"/>
      </w:pPr>
      <w:rPr>
        <w:rFonts w:hint="default"/>
      </w:rPr>
    </w:lvl>
    <w:lvl w:ilvl="3" w:tplc="732A9464">
      <w:numFmt w:val="bullet"/>
      <w:lvlText w:val="•"/>
      <w:lvlJc w:val="left"/>
      <w:pPr>
        <w:ind w:left="1497" w:hanging="361"/>
      </w:pPr>
      <w:rPr>
        <w:rFonts w:hint="default"/>
      </w:rPr>
    </w:lvl>
    <w:lvl w:ilvl="4" w:tplc="403EF5A0">
      <w:numFmt w:val="bullet"/>
      <w:lvlText w:val="•"/>
      <w:lvlJc w:val="left"/>
      <w:pPr>
        <w:ind w:left="1722" w:hanging="361"/>
      </w:pPr>
      <w:rPr>
        <w:rFonts w:hint="default"/>
      </w:rPr>
    </w:lvl>
    <w:lvl w:ilvl="5" w:tplc="A1C0B68E">
      <w:numFmt w:val="bullet"/>
      <w:lvlText w:val="•"/>
      <w:lvlJc w:val="left"/>
      <w:pPr>
        <w:ind w:left="1948" w:hanging="361"/>
      </w:pPr>
      <w:rPr>
        <w:rFonts w:hint="default"/>
      </w:rPr>
    </w:lvl>
    <w:lvl w:ilvl="6" w:tplc="D280F8EA">
      <w:numFmt w:val="bullet"/>
      <w:lvlText w:val="•"/>
      <w:lvlJc w:val="left"/>
      <w:pPr>
        <w:ind w:left="2174" w:hanging="361"/>
      </w:pPr>
      <w:rPr>
        <w:rFonts w:hint="default"/>
      </w:rPr>
    </w:lvl>
    <w:lvl w:ilvl="7" w:tplc="D0DE8846">
      <w:numFmt w:val="bullet"/>
      <w:lvlText w:val="•"/>
      <w:lvlJc w:val="left"/>
      <w:pPr>
        <w:ind w:left="2399" w:hanging="361"/>
      </w:pPr>
      <w:rPr>
        <w:rFonts w:hint="default"/>
      </w:rPr>
    </w:lvl>
    <w:lvl w:ilvl="8" w:tplc="8A7C175A">
      <w:numFmt w:val="bullet"/>
      <w:lvlText w:val="•"/>
      <w:lvlJc w:val="left"/>
      <w:pPr>
        <w:ind w:left="2625" w:hanging="361"/>
      </w:pPr>
      <w:rPr>
        <w:rFonts w:hint="default"/>
      </w:rPr>
    </w:lvl>
  </w:abstractNum>
  <w:abstractNum w:abstractNumId="3" w15:restartNumberingAfterBreak="0">
    <w:nsid w:val="64A54896"/>
    <w:multiLevelType w:val="hybridMultilevel"/>
    <w:tmpl w:val="D3A038BA"/>
    <w:lvl w:ilvl="0" w:tplc="AE14B77E">
      <w:numFmt w:val="bullet"/>
      <w:lvlText w:val=""/>
      <w:lvlJc w:val="left"/>
      <w:pPr>
        <w:ind w:left="828" w:hanging="361"/>
      </w:pPr>
      <w:rPr>
        <w:rFonts w:ascii="Symbol" w:eastAsia="Symbol" w:hAnsi="Symbol" w:cs="Symbol" w:hint="default"/>
        <w:w w:val="100"/>
        <w:sz w:val="22"/>
        <w:szCs w:val="22"/>
      </w:rPr>
    </w:lvl>
    <w:lvl w:ilvl="1" w:tplc="12FCB42C">
      <w:numFmt w:val="bullet"/>
      <w:lvlText w:val="•"/>
      <w:lvlJc w:val="left"/>
      <w:pPr>
        <w:ind w:left="1035" w:hanging="361"/>
      </w:pPr>
      <w:rPr>
        <w:rFonts w:hint="default"/>
      </w:rPr>
    </w:lvl>
    <w:lvl w:ilvl="2" w:tplc="93E661CC">
      <w:numFmt w:val="bullet"/>
      <w:lvlText w:val="•"/>
      <w:lvlJc w:val="left"/>
      <w:pPr>
        <w:ind w:left="1250" w:hanging="361"/>
      </w:pPr>
      <w:rPr>
        <w:rFonts w:hint="default"/>
      </w:rPr>
    </w:lvl>
    <w:lvl w:ilvl="3" w:tplc="41E8AC12">
      <w:numFmt w:val="bullet"/>
      <w:lvlText w:val="•"/>
      <w:lvlJc w:val="left"/>
      <w:pPr>
        <w:ind w:left="1466" w:hanging="361"/>
      </w:pPr>
      <w:rPr>
        <w:rFonts w:hint="default"/>
      </w:rPr>
    </w:lvl>
    <w:lvl w:ilvl="4" w:tplc="B27CF5B8">
      <w:numFmt w:val="bullet"/>
      <w:lvlText w:val="•"/>
      <w:lvlJc w:val="left"/>
      <w:pPr>
        <w:ind w:left="1681" w:hanging="361"/>
      </w:pPr>
      <w:rPr>
        <w:rFonts w:hint="default"/>
      </w:rPr>
    </w:lvl>
    <w:lvl w:ilvl="5" w:tplc="525C09E8">
      <w:numFmt w:val="bullet"/>
      <w:lvlText w:val="•"/>
      <w:lvlJc w:val="left"/>
      <w:pPr>
        <w:ind w:left="1897" w:hanging="361"/>
      </w:pPr>
      <w:rPr>
        <w:rFonts w:hint="default"/>
      </w:rPr>
    </w:lvl>
    <w:lvl w:ilvl="6" w:tplc="4DA40504">
      <w:numFmt w:val="bullet"/>
      <w:lvlText w:val="•"/>
      <w:lvlJc w:val="left"/>
      <w:pPr>
        <w:ind w:left="2112" w:hanging="361"/>
      </w:pPr>
      <w:rPr>
        <w:rFonts w:hint="default"/>
      </w:rPr>
    </w:lvl>
    <w:lvl w:ilvl="7" w:tplc="B7E2D526">
      <w:numFmt w:val="bullet"/>
      <w:lvlText w:val="•"/>
      <w:lvlJc w:val="left"/>
      <w:pPr>
        <w:ind w:left="2327" w:hanging="361"/>
      </w:pPr>
      <w:rPr>
        <w:rFonts w:hint="default"/>
      </w:rPr>
    </w:lvl>
    <w:lvl w:ilvl="8" w:tplc="9CB426CA">
      <w:numFmt w:val="bullet"/>
      <w:lvlText w:val="•"/>
      <w:lvlJc w:val="left"/>
      <w:pPr>
        <w:ind w:left="2543" w:hanging="361"/>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8E3844"/>
    <w:rsid w:val="001B018F"/>
    <w:rsid w:val="00537A42"/>
    <w:rsid w:val="006E2005"/>
    <w:rsid w:val="007A05E6"/>
    <w:rsid w:val="007D4DEB"/>
    <w:rsid w:val="008B5DDD"/>
    <w:rsid w:val="008E3844"/>
    <w:rsid w:val="00EC6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9A46FF0"/>
  <w15:docId w15:val="{2B1CBD8B-A296-4D4F-BC41-B53C57C5F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ucida Sans" w:eastAsia="Lucida Sans" w:hAnsi="Lucida Sans" w:cs="Lucida Sans"/>
    </w:rPr>
  </w:style>
  <w:style w:type="paragraph" w:styleId="Heading1">
    <w:name w:val="heading 1"/>
    <w:basedOn w:val="Normal"/>
    <w:uiPriority w:val="1"/>
    <w:qFormat/>
    <w:pPr>
      <w:spacing w:before="125"/>
      <w:ind w:left="120"/>
      <w:outlineLvl w:val="0"/>
    </w:pPr>
    <w:rPr>
      <w:rFonts w:ascii="Franklin Gothic Medium" w:eastAsia="Franklin Gothic Medium" w:hAnsi="Franklin Gothic Medium" w:cs="Franklin Gothic Medium"/>
      <w:sz w:val="40"/>
      <w:szCs w:val="40"/>
      <w:u w:val="single" w:color="000000"/>
    </w:rPr>
  </w:style>
  <w:style w:type="paragraph" w:styleId="Heading2">
    <w:name w:val="heading 2"/>
    <w:basedOn w:val="Normal"/>
    <w:next w:val="Normal"/>
    <w:link w:val="Heading2Char"/>
    <w:uiPriority w:val="9"/>
    <w:semiHidden/>
    <w:unhideWhenUsed/>
    <w:qFormat/>
    <w:rsid w:val="001B018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9"/>
      <w:ind w:left="840" w:hanging="360"/>
    </w:pPr>
    <w:rPr>
      <w:sz w:val="24"/>
      <w:szCs w:val="24"/>
    </w:rPr>
  </w:style>
  <w:style w:type="paragraph" w:styleId="ListParagraph">
    <w:name w:val="List Paragraph"/>
    <w:basedOn w:val="Normal"/>
    <w:uiPriority w:val="1"/>
    <w:qFormat/>
    <w:pPr>
      <w:spacing w:before="59"/>
      <w:ind w:left="840" w:hanging="360"/>
    </w:pPr>
  </w:style>
  <w:style w:type="paragraph" w:customStyle="1" w:styleId="TableParagraph">
    <w:name w:val="Table Paragraph"/>
    <w:basedOn w:val="Normal"/>
    <w:uiPriority w:val="1"/>
    <w:qFormat/>
    <w:pPr>
      <w:ind w:left="828" w:hanging="360"/>
    </w:pPr>
  </w:style>
  <w:style w:type="character" w:styleId="Hyperlink">
    <w:name w:val="Hyperlink"/>
    <w:basedOn w:val="DefaultParagraphFont"/>
    <w:uiPriority w:val="99"/>
    <w:unhideWhenUsed/>
    <w:rsid w:val="007D4DEB"/>
    <w:rPr>
      <w:color w:val="0000FF" w:themeColor="hyperlink"/>
      <w:u w:val="single"/>
    </w:rPr>
  </w:style>
  <w:style w:type="character" w:customStyle="1" w:styleId="Heading2Char">
    <w:name w:val="Heading 2 Char"/>
    <w:basedOn w:val="DefaultParagraphFont"/>
    <w:link w:val="Heading2"/>
    <w:uiPriority w:val="9"/>
    <w:semiHidden/>
    <w:rsid w:val="001B018F"/>
    <w:rPr>
      <w:rFonts w:asciiTheme="majorHAnsi" w:eastAsiaTheme="majorEastAsia" w:hAnsiTheme="majorHAnsi" w:cstheme="majorBidi"/>
      <w:color w:val="365F91" w:themeColor="accent1" w:themeShade="BF"/>
      <w:sz w:val="26"/>
      <w:szCs w:val="26"/>
    </w:rPr>
  </w:style>
  <w:style w:type="character" w:customStyle="1" w:styleId="UnresolvedMention">
    <w:name w:val="Unresolved Mention"/>
    <w:basedOn w:val="DefaultParagraphFont"/>
    <w:uiPriority w:val="99"/>
    <w:semiHidden/>
    <w:unhideWhenUsed/>
    <w:rsid w:val="001B01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371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cfr.io/Title-34/se34.2.300_13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Western Oregon University</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dc:creator>
  <cp:lastModifiedBy>Windows User</cp:lastModifiedBy>
  <cp:revision>3</cp:revision>
  <dcterms:created xsi:type="dcterms:W3CDTF">2018-10-04T18:18:00Z</dcterms:created>
  <dcterms:modified xsi:type="dcterms:W3CDTF">2018-10-09T16:22:00Z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2018-10-04T00:00:00Z</vt:filetime>
  </property>
  <property fmtid="{D5CDD505-2E9C-101B-9397-08002B2CF9AE}" pid="3" name="Creator">
    <vt:lpwstr>Acrobat PDFMaker 18 for Word</vt:lpwstr>
  </property>
  <property fmtid="{D5CDD505-2E9C-101B-9397-08002B2CF9AE}" pid="4" name="LastSaved">
    <vt:filetime>2018-10-04T00:00:00Z</vt:filetime>
  </property>
</Properties>
</file>