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744E" w14:textId="77777777" w:rsidR="00754B46" w:rsidRDefault="007460CD">
      <w:pPr>
        <w:tabs>
          <w:tab w:val="left" w:pos="9101"/>
        </w:tabs>
        <w:spacing w:before="78"/>
        <w:ind w:left="120"/>
        <w:rPr>
          <w:rFonts w:ascii="Franklin Gothic Medium"/>
          <w:sz w:val="48"/>
        </w:rPr>
      </w:pPr>
      <w:r>
        <w:rPr>
          <w:rFonts w:ascii="Franklin Gothic Medium"/>
          <w:color w:val="005490"/>
          <w:sz w:val="48"/>
        </w:rPr>
        <w:t>Invite</w:t>
      </w:r>
      <w:r>
        <w:rPr>
          <w:rFonts w:ascii="Franklin Gothic Medium"/>
          <w:color w:val="005490"/>
          <w:spacing w:val="-4"/>
          <w:sz w:val="48"/>
        </w:rPr>
        <w:t xml:space="preserve"> </w:t>
      </w:r>
      <w:r>
        <w:rPr>
          <w:rFonts w:ascii="Franklin Gothic Medium"/>
          <w:color w:val="005490"/>
          <w:sz w:val="48"/>
        </w:rPr>
        <w:t>the</w:t>
      </w:r>
      <w:r>
        <w:rPr>
          <w:rFonts w:ascii="Franklin Gothic Medium"/>
          <w:color w:val="005490"/>
          <w:spacing w:val="-3"/>
          <w:sz w:val="48"/>
        </w:rPr>
        <w:t xml:space="preserve"> </w:t>
      </w:r>
      <w:r>
        <w:rPr>
          <w:rFonts w:ascii="Franklin Gothic Medium"/>
          <w:color w:val="005490"/>
          <w:sz w:val="48"/>
        </w:rPr>
        <w:t>Student</w:t>
      </w:r>
      <w:r>
        <w:rPr>
          <w:rFonts w:ascii="Franklin Gothic Medium"/>
          <w:color w:val="005490"/>
          <w:sz w:val="48"/>
        </w:rPr>
        <w:tab/>
      </w:r>
      <w:r>
        <w:rPr>
          <w:rFonts w:ascii="Franklin Gothic Medium"/>
          <w:noProof/>
          <w:color w:val="005490"/>
          <w:position w:val="-17"/>
          <w:sz w:val="48"/>
        </w:rPr>
        <w:drawing>
          <wp:inline distT="0" distB="0" distL="0" distR="0" wp14:anchorId="70605E64" wp14:editId="3C121771">
            <wp:extent cx="598169" cy="365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8169" cy="365544"/>
                    </a:xfrm>
                    <a:prstGeom prst="rect">
                      <a:avLst/>
                    </a:prstGeom>
                  </pic:spPr>
                </pic:pic>
              </a:graphicData>
            </a:graphic>
          </wp:inline>
        </w:drawing>
      </w:r>
    </w:p>
    <w:p w14:paraId="69A3BF8E" w14:textId="7B78EA7F" w:rsidR="00754B46" w:rsidRDefault="00684821">
      <w:pPr>
        <w:spacing w:before="171"/>
        <w:ind w:left="722"/>
        <w:rPr>
          <w:rFonts w:ascii="Franklin Gothic Medium"/>
          <w:sz w:val="40"/>
        </w:rPr>
      </w:pPr>
      <w:r>
        <w:rPr>
          <w:noProof/>
        </w:rPr>
        <mc:AlternateContent>
          <mc:Choice Requires="wps">
            <w:drawing>
              <wp:anchor distT="0" distB="0" distL="0" distR="0" simplePos="0" relativeHeight="251658240" behindDoc="1" locked="0" layoutInCell="1" allowOverlap="1" wp14:anchorId="1D1A204C" wp14:editId="152304B9">
                <wp:simplePos x="0" y="0"/>
                <wp:positionH relativeFrom="page">
                  <wp:posOffset>1261745</wp:posOffset>
                </wp:positionH>
                <wp:positionV relativeFrom="paragraph">
                  <wp:posOffset>433070</wp:posOffset>
                </wp:positionV>
                <wp:extent cx="4484370" cy="0"/>
                <wp:effectExtent l="23495" t="22225" r="16510" b="158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28575">
                          <a:solidFill>
                            <a:srgbClr val="1E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A86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35pt,34.1pt" to="45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2PFQ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" strokecolor="#1eb050" strokeweight="2.25pt">
                <w10:wrap type="topAndBottom" anchorx="page"/>
              </v:line>
            </w:pict>
          </mc:Fallback>
        </mc:AlternateContent>
      </w:r>
      <w:r w:rsidR="007460CD">
        <w:rPr>
          <w:noProof/>
        </w:rPr>
        <w:drawing>
          <wp:anchor distT="0" distB="0" distL="0" distR="0" simplePos="0" relativeHeight="251657216" behindDoc="0" locked="0" layoutInCell="1" allowOverlap="1" wp14:anchorId="0E55B9B6" wp14:editId="09C23424">
            <wp:simplePos x="0" y="0"/>
            <wp:positionH relativeFrom="page">
              <wp:posOffset>914400</wp:posOffset>
            </wp:positionH>
            <wp:positionV relativeFrom="paragraph">
              <wp:posOffset>161811</wp:posOffset>
            </wp:positionV>
            <wp:extent cx="267969" cy="27431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7969" cy="274318"/>
                    </a:xfrm>
                    <a:prstGeom prst="rect">
                      <a:avLst/>
                    </a:prstGeom>
                  </pic:spPr>
                </pic:pic>
              </a:graphicData>
            </a:graphic>
          </wp:anchor>
        </w:drawing>
      </w:r>
      <w:r w:rsidR="007460CD">
        <w:rPr>
          <w:rFonts w:ascii="Franklin Gothic Medium"/>
          <w:color w:val="1EB050"/>
          <w:sz w:val="40"/>
        </w:rPr>
        <w:t>Law &amp; Guidelines</w:t>
      </w:r>
    </w:p>
    <w:p w14:paraId="49F8A817" w14:textId="77777777" w:rsidR="00754B46" w:rsidRDefault="007460CD">
      <w:pPr>
        <w:pStyle w:val="BodyText"/>
        <w:tabs>
          <w:tab w:val="left" w:pos="2529"/>
        </w:tabs>
        <w:spacing w:before="165"/>
        <w:ind w:left="120"/>
      </w:pPr>
      <w:r>
        <w:rPr>
          <w:b/>
        </w:rPr>
        <w:t>IDEA</w:t>
      </w:r>
      <w:r>
        <w:rPr>
          <w:b/>
          <w:spacing w:val="-2"/>
        </w:rPr>
        <w:t xml:space="preserve"> </w:t>
      </w:r>
      <w:r>
        <w:rPr>
          <w:b/>
        </w:rPr>
        <w:t>Regulations</w:t>
      </w:r>
      <w:r>
        <w:rPr>
          <w:b/>
        </w:rPr>
        <w:tab/>
      </w:r>
      <w:r>
        <w:t>34 CRF 300.321(a</w:t>
      </w:r>
      <w:proofErr w:type="gramStart"/>
      <w:r>
        <w:t>)(</w:t>
      </w:r>
      <w:proofErr w:type="gramEnd"/>
      <w:r>
        <w:t>7)</w:t>
      </w:r>
      <w:r>
        <w:rPr>
          <w:spacing w:val="1"/>
        </w:rPr>
        <w:t xml:space="preserve"> </w:t>
      </w:r>
      <w:r>
        <w:t>300.321</w:t>
      </w:r>
    </w:p>
    <w:p w14:paraId="63555DB5" w14:textId="0E182E65" w:rsidR="00754B46" w:rsidRPr="00C246A9" w:rsidRDefault="007460CD" w:rsidP="007460CD">
      <w:pPr>
        <w:pStyle w:val="ListParagraph"/>
        <w:numPr>
          <w:ilvl w:val="0"/>
          <w:numId w:val="1"/>
        </w:numPr>
        <w:tabs>
          <w:tab w:val="left" w:pos="541"/>
        </w:tabs>
        <w:spacing w:before="205" w:line="273" w:lineRule="auto"/>
        <w:ind w:right="971"/>
        <w:rPr>
          <w:i/>
          <w:strike/>
          <w:sz w:val="23"/>
        </w:rPr>
      </w:pPr>
      <w:r w:rsidRPr="00C246A9">
        <w:rPr>
          <w:i/>
          <w:sz w:val="23"/>
        </w:rPr>
        <w:t>General. The public agency must ensure that the IEP Team for each child with a disability includes—(7) whenever appropriate, the child with a</w:t>
      </w:r>
      <w:r w:rsidRPr="00C246A9">
        <w:rPr>
          <w:i/>
          <w:spacing w:val="-20"/>
          <w:sz w:val="23"/>
        </w:rPr>
        <w:t xml:space="preserve"> </w:t>
      </w:r>
      <w:r w:rsidRPr="00C246A9">
        <w:rPr>
          <w:i/>
          <w:sz w:val="23"/>
        </w:rPr>
        <w:t>disability.</w:t>
      </w:r>
      <w:r w:rsidR="002322AD" w:rsidRPr="00C246A9">
        <w:rPr>
          <w:i/>
          <w:sz w:val="23"/>
        </w:rPr>
        <w:t xml:space="preserve"> The full law can be accessed here </w:t>
      </w:r>
      <w:hyperlink r:id="rId7" w:history="1">
        <w:r w:rsidR="002322AD" w:rsidRPr="00C246A9">
          <w:rPr>
            <w:rStyle w:val="Hyperlink"/>
            <w:i/>
            <w:sz w:val="23"/>
          </w:rPr>
          <w:t>https://ecfr.io/Title-34/se34.2.300_1321</w:t>
        </w:r>
      </w:hyperlink>
      <w:r w:rsidR="002322AD" w:rsidRPr="00C246A9">
        <w:rPr>
          <w:i/>
          <w:sz w:val="23"/>
        </w:rPr>
        <w:t xml:space="preserve"> </w:t>
      </w:r>
    </w:p>
    <w:p w14:paraId="77EFB72C" w14:textId="087E4554" w:rsidR="00C246A9" w:rsidRPr="00C246A9" w:rsidRDefault="00C246A9" w:rsidP="00C246A9">
      <w:pPr>
        <w:pStyle w:val="NormalWeb"/>
        <w:numPr>
          <w:ilvl w:val="0"/>
          <w:numId w:val="1"/>
        </w:numPr>
        <w:shd w:val="clear" w:color="auto" w:fill="FFFFFF"/>
        <w:spacing w:before="0" w:beforeAutospacing="0" w:after="150" w:afterAutospacing="0"/>
        <w:rPr>
          <w:rFonts w:ascii="Lucida Sans Unicode" w:hAnsi="Lucida Sans Unicode" w:cs="Lucida Sans Unicode"/>
          <w:i/>
          <w:color w:val="333333"/>
          <w:sz w:val="21"/>
          <w:szCs w:val="21"/>
        </w:rPr>
      </w:pPr>
      <w:r w:rsidRPr="00C246A9">
        <w:rPr>
          <w:rFonts w:ascii="Lucida Sans Unicode" w:hAnsi="Lucida Sans Unicode" w:cs="Lucida Sans Unicode"/>
          <w:i/>
          <w:color w:val="333333"/>
          <w:sz w:val="21"/>
          <w:szCs w:val="21"/>
        </w:rPr>
        <w:t>Transition services participants. (1) 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§300.320(b).</w:t>
      </w:r>
    </w:p>
    <w:p w14:paraId="425315F6" w14:textId="77777777" w:rsidR="00C246A9" w:rsidRPr="00C246A9" w:rsidRDefault="00C246A9" w:rsidP="00711EF5">
      <w:pPr>
        <w:pStyle w:val="NormalWeb"/>
        <w:shd w:val="clear" w:color="auto" w:fill="FFFFFF"/>
        <w:spacing w:before="0" w:beforeAutospacing="0" w:after="150" w:afterAutospacing="0"/>
        <w:ind w:left="466"/>
        <w:rPr>
          <w:rFonts w:ascii="Lucida Sans Unicode" w:hAnsi="Lucida Sans Unicode" w:cs="Lucida Sans Unicode"/>
          <w:i/>
          <w:color w:val="333333"/>
          <w:sz w:val="21"/>
          <w:szCs w:val="21"/>
        </w:rPr>
      </w:pPr>
      <w:r w:rsidRPr="00C246A9">
        <w:rPr>
          <w:rFonts w:ascii="Lucida Sans Unicode" w:hAnsi="Lucida Sans Unicode" w:cs="Lucida Sans Unicode"/>
          <w:i/>
          <w:color w:val="333333"/>
          <w:sz w:val="21"/>
          <w:szCs w:val="21"/>
        </w:rPr>
        <w:t xml:space="preserve">(2) If the child does not attend the IEP Team meeting, the public agency must take other steps </w:t>
      </w:r>
      <w:bookmarkStart w:id="0" w:name="_GoBack"/>
      <w:bookmarkEnd w:id="0"/>
      <w:r w:rsidRPr="00C246A9">
        <w:rPr>
          <w:rFonts w:ascii="Lucida Sans Unicode" w:hAnsi="Lucida Sans Unicode" w:cs="Lucida Sans Unicode"/>
          <w:i/>
          <w:color w:val="333333"/>
          <w:sz w:val="21"/>
          <w:szCs w:val="21"/>
        </w:rPr>
        <w:t>to ensure that the child's preferences and interests are considered.</w:t>
      </w:r>
    </w:p>
    <w:p w14:paraId="7D04632A" w14:textId="77777777" w:rsidR="00C246A9" w:rsidRPr="00C246A9" w:rsidRDefault="00C246A9">
      <w:pPr>
        <w:pStyle w:val="BodyText"/>
        <w:spacing w:before="168" w:line="278" w:lineRule="auto"/>
        <w:ind w:left="119" w:right="974"/>
        <w:rPr>
          <w:b/>
        </w:rPr>
      </w:pPr>
      <w:r w:rsidRPr="00C246A9">
        <w:rPr>
          <w:b/>
        </w:rPr>
        <w:t>Guidance</w:t>
      </w:r>
    </w:p>
    <w:p w14:paraId="53391A3F" w14:textId="399AA6F9" w:rsidR="00754B46" w:rsidRDefault="007460CD">
      <w:pPr>
        <w:pStyle w:val="BodyText"/>
        <w:spacing w:before="168" w:line="278" w:lineRule="auto"/>
        <w:ind w:left="119" w:right="974"/>
      </w:pPr>
      <w:r>
        <w:t xml:space="preserve">Transition planning is about the student’s movement from high school to post- school life. It </w:t>
      </w:r>
      <w:proofErr w:type="gramStart"/>
      <w:r>
        <w:t>is based</w:t>
      </w:r>
      <w:proofErr w:type="gramEnd"/>
      <w:r>
        <w:t xml:space="preserve"> on the </w:t>
      </w:r>
      <w:r>
        <w:rPr>
          <w:b/>
        </w:rPr>
        <w:t xml:space="preserve">student’s </w:t>
      </w:r>
      <w:r>
        <w:t>plans for the future. The student may need preparation and practice in participating in the IEP meeting. The needs and desires of the student and family are the core of the planning process; therefore, the student’s input is essential.</w:t>
      </w:r>
    </w:p>
    <w:p w14:paraId="50B0BA54" w14:textId="77777777" w:rsidR="00754B46" w:rsidRDefault="007460CD">
      <w:pPr>
        <w:pStyle w:val="BodyText"/>
        <w:spacing w:before="158" w:line="276" w:lineRule="auto"/>
        <w:ind w:left="119" w:right="1382"/>
      </w:pPr>
      <w:r>
        <w:t>Students may play different roles and provide input through various methods based on their level of comfort. For example, the student may:</w:t>
      </w:r>
    </w:p>
    <w:p w14:paraId="26E90162" w14:textId="77777777" w:rsidR="00754B46" w:rsidRDefault="007460CD">
      <w:pPr>
        <w:pStyle w:val="ListParagraph"/>
        <w:numPr>
          <w:ilvl w:val="1"/>
          <w:numId w:val="1"/>
        </w:numPr>
        <w:tabs>
          <w:tab w:val="left" w:pos="1344"/>
        </w:tabs>
        <w:spacing w:before="165"/>
        <w:ind w:hanging="360"/>
        <w:rPr>
          <w:sz w:val="23"/>
        </w:rPr>
      </w:pPr>
      <w:r>
        <w:rPr>
          <w:sz w:val="23"/>
        </w:rPr>
        <w:t>Provide input indirectly based on a questionnaire or</w:t>
      </w:r>
      <w:r>
        <w:rPr>
          <w:spacing w:val="-10"/>
          <w:sz w:val="23"/>
        </w:rPr>
        <w:t xml:space="preserve"> </w:t>
      </w:r>
      <w:r>
        <w:rPr>
          <w:sz w:val="23"/>
        </w:rPr>
        <w:t>survey,</w:t>
      </w:r>
    </w:p>
    <w:p w14:paraId="53E6D069" w14:textId="77777777" w:rsidR="00754B46" w:rsidRDefault="007460CD">
      <w:pPr>
        <w:pStyle w:val="ListParagraph"/>
        <w:numPr>
          <w:ilvl w:val="1"/>
          <w:numId w:val="1"/>
        </w:numPr>
        <w:tabs>
          <w:tab w:val="left" w:pos="1344"/>
        </w:tabs>
        <w:ind w:right="692" w:hanging="360"/>
        <w:rPr>
          <w:sz w:val="23"/>
        </w:rPr>
      </w:pPr>
      <w:r>
        <w:rPr>
          <w:sz w:val="23"/>
        </w:rPr>
        <w:t>Be a reluctant participant (avoids conversation or responds only to</w:t>
      </w:r>
      <w:r>
        <w:rPr>
          <w:spacing w:val="-30"/>
          <w:sz w:val="23"/>
        </w:rPr>
        <w:t xml:space="preserve"> </w:t>
      </w:r>
      <w:r>
        <w:rPr>
          <w:sz w:val="23"/>
        </w:rPr>
        <w:t>direct questions).</w:t>
      </w:r>
    </w:p>
    <w:p w14:paraId="58D634BE" w14:textId="77777777" w:rsidR="00754B46" w:rsidRDefault="007460CD">
      <w:pPr>
        <w:pStyle w:val="ListParagraph"/>
        <w:numPr>
          <w:ilvl w:val="1"/>
          <w:numId w:val="1"/>
        </w:numPr>
        <w:tabs>
          <w:tab w:val="left" w:pos="1344"/>
        </w:tabs>
        <w:spacing w:before="164"/>
        <w:ind w:hanging="360"/>
        <w:rPr>
          <w:sz w:val="23"/>
        </w:rPr>
      </w:pPr>
      <w:r>
        <w:rPr>
          <w:sz w:val="23"/>
        </w:rPr>
        <w:t>Provide input directly by computer or electronic</w:t>
      </w:r>
      <w:r>
        <w:rPr>
          <w:spacing w:val="-12"/>
          <w:sz w:val="23"/>
        </w:rPr>
        <w:t xml:space="preserve"> </w:t>
      </w:r>
      <w:r>
        <w:rPr>
          <w:sz w:val="23"/>
        </w:rPr>
        <w:t>device.</w:t>
      </w:r>
    </w:p>
    <w:p w14:paraId="2CB24CBE" w14:textId="77777777" w:rsidR="00754B46" w:rsidRDefault="007460CD">
      <w:pPr>
        <w:pStyle w:val="ListParagraph"/>
        <w:numPr>
          <w:ilvl w:val="1"/>
          <w:numId w:val="1"/>
        </w:numPr>
        <w:tabs>
          <w:tab w:val="left" w:pos="1344"/>
        </w:tabs>
        <w:spacing w:before="166"/>
        <w:ind w:hanging="360"/>
        <w:rPr>
          <w:sz w:val="23"/>
        </w:rPr>
      </w:pPr>
      <w:r>
        <w:rPr>
          <w:sz w:val="23"/>
        </w:rPr>
        <w:t>Be a self-advocate (practices self-advocacy</w:t>
      </w:r>
      <w:r>
        <w:rPr>
          <w:spacing w:val="-5"/>
          <w:sz w:val="23"/>
        </w:rPr>
        <w:t xml:space="preserve"> </w:t>
      </w:r>
      <w:r>
        <w:rPr>
          <w:sz w:val="23"/>
        </w:rPr>
        <w:t>skills).</w:t>
      </w:r>
    </w:p>
    <w:p w14:paraId="4F36E831" w14:textId="77777777" w:rsidR="00754B46" w:rsidRDefault="007460CD">
      <w:pPr>
        <w:pStyle w:val="ListParagraph"/>
        <w:numPr>
          <w:ilvl w:val="1"/>
          <w:numId w:val="1"/>
        </w:numPr>
        <w:tabs>
          <w:tab w:val="left" w:pos="1344"/>
        </w:tabs>
        <w:ind w:hanging="360"/>
        <w:rPr>
          <w:sz w:val="23"/>
        </w:rPr>
      </w:pPr>
      <w:r>
        <w:rPr>
          <w:sz w:val="23"/>
        </w:rPr>
        <w:t>Be a leader (demonstrates leadership skills in the</w:t>
      </w:r>
      <w:r>
        <w:rPr>
          <w:spacing w:val="-6"/>
          <w:sz w:val="23"/>
        </w:rPr>
        <w:t xml:space="preserve"> </w:t>
      </w:r>
      <w:r>
        <w:rPr>
          <w:sz w:val="23"/>
        </w:rPr>
        <w:t>IEP).</w:t>
      </w:r>
    </w:p>
    <w:p w14:paraId="1A7D5C49" w14:textId="59D29BE7" w:rsidR="00754B46" w:rsidRDefault="007460CD" w:rsidP="00C246A9">
      <w:pPr>
        <w:pStyle w:val="BodyText"/>
        <w:spacing w:before="164" w:line="276" w:lineRule="auto"/>
        <w:ind w:left="119" w:right="903"/>
        <w:rPr>
          <w:sz w:val="20"/>
        </w:rPr>
      </w:pPr>
      <w:r>
        <w:t>When the student is invited but does not attend the IEP Team meeting, the school district must take other steps to ensure that the student’s preferences and interests are considered.</w:t>
      </w:r>
    </w:p>
    <w:p w14:paraId="564A20EE" w14:textId="77777777" w:rsidR="00754B46" w:rsidRDefault="00754B46">
      <w:pPr>
        <w:pStyle w:val="BodyText"/>
        <w:rPr>
          <w:sz w:val="20"/>
        </w:rPr>
      </w:pPr>
    </w:p>
    <w:p w14:paraId="74DE1E14" w14:textId="77777777" w:rsidR="00754B46" w:rsidRDefault="00754B46">
      <w:pPr>
        <w:pStyle w:val="BodyText"/>
        <w:rPr>
          <w:sz w:val="20"/>
        </w:rPr>
      </w:pPr>
    </w:p>
    <w:p w14:paraId="0834DA62" w14:textId="77777777" w:rsidR="00754B46" w:rsidRDefault="00754B46">
      <w:pPr>
        <w:pStyle w:val="BodyText"/>
        <w:rPr>
          <w:sz w:val="20"/>
        </w:rPr>
      </w:pPr>
    </w:p>
    <w:p w14:paraId="6EAA917A" w14:textId="77777777" w:rsidR="00754B46" w:rsidRDefault="00754B46">
      <w:pPr>
        <w:pStyle w:val="BodyText"/>
        <w:rPr>
          <w:sz w:val="20"/>
        </w:rPr>
      </w:pPr>
    </w:p>
    <w:p w14:paraId="209BF826" w14:textId="77777777" w:rsidR="00754B46" w:rsidRDefault="00754B46">
      <w:pPr>
        <w:pStyle w:val="BodyText"/>
        <w:rPr>
          <w:sz w:val="20"/>
        </w:rPr>
      </w:pPr>
    </w:p>
    <w:p w14:paraId="1A8B82FA" w14:textId="77777777" w:rsidR="00754B46" w:rsidRDefault="00754B46">
      <w:pPr>
        <w:pStyle w:val="BodyText"/>
        <w:rPr>
          <w:sz w:val="20"/>
        </w:rPr>
      </w:pPr>
    </w:p>
    <w:p w14:paraId="752C7AFF" w14:textId="77777777" w:rsidR="00754B46" w:rsidRDefault="00754B46">
      <w:pPr>
        <w:pStyle w:val="BodyText"/>
        <w:rPr>
          <w:sz w:val="20"/>
        </w:rPr>
      </w:pPr>
    </w:p>
    <w:p w14:paraId="46778218" w14:textId="77777777" w:rsidR="00754B46" w:rsidRDefault="00754B46">
      <w:pPr>
        <w:pStyle w:val="BodyText"/>
        <w:spacing w:before="9"/>
        <w:rPr>
          <w:sz w:val="19"/>
        </w:rPr>
      </w:pPr>
    </w:p>
    <w:p w14:paraId="71C6BD7D" w14:textId="77777777" w:rsidR="00754B46" w:rsidRDefault="007460CD">
      <w:pPr>
        <w:spacing w:before="101"/>
        <w:ind w:left="4641" w:right="5199"/>
        <w:jc w:val="center"/>
      </w:pPr>
      <w:r>
        <w:t>15</w:t>
      </w:r>
    </w:p>
    <w:sectPr w:rsidR="00754B46">
      <w:type w:val="continuous"/>
      <w:pgSz w:w="12240" w:h="15840"/>
      <w:pgMar w:top="1320" w:right="7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2C5"/>
    <w:multiLevelType w:val="hybridMultilevel"/>
    <w:tmpl w:val="C14ACF2A"/>
    <w:lvl w:ilvl="0" w:tplc="22905F5C">
      <w:start w:val="1"/>
      <w:numFmt w:val="lowerLetter"/>
      <w:lvlText w:val="(%1)"/>
      <w:lvlJc w:val="left"/>
      <w:pPr>
        <w:ind w:left="466" w:hanging="346"/>
      </w:pPr>
      <w:rPr>
        <w:rFonts w:ascii="Lucida Sans" w:eastAsia="Lucida Sans" w:hAnsi="Lucida Sans" w:cs="Lucida Sans" w:hint="default"/>
        <w:strike w:val="0"/>
        <w:spacing w:val="-6"/>
        <w:w w:val="100"/>
        <w:sz w:val="23"/>
        <w:szCs w:val="23"/>
      </w:rPr>
    </w:lvl>
    <w:lvl w:ilvl="1" w:tplc="F774D348">
      <w:start w:val="1"/>
      <w:numFmt w:val="decimal"/>
      <w:lvlText w:val="%2."/>
      <w:lvlJc w:val="left"/>
      <w:pPr>
        <w:ind w:left="1689" w:hanging="361"/>
      </w:pPr>
      <w:rPr>
        <w:rFonts w:ascii="Lucida Sans" w:eastAsia="Lucida Sans" w:hAnsi="Lucida Sans" w:cs="Lucida Sans" w:hint="default"/>
        <w:w w:val="100"/>
        <w:sz w:val="23"/>
        <w:szCs w:val="23"/>
      </w:rPr>
    </w:lvl>
    <w:lvl w:ilvl="2" w:tplc="0B505A72">
      <w:numFmt w:val="bullet"/>
      <w:lvlText w:val="•"/>
      <w:lvlJc w:val="left"/>
      <w:pPr>
        <w:ind w:left="2666" w:hanging="361"/>
      </w:pPr>
      <w:rPr>
        <w:rFonts w:hint="default"/>
      </w:rPr>
    </w:lvl>
    <w:lvl w:ilvl="3" w:tplc="4162A778">
      <w:numFmt w:val="bullet"/>
      <w:lvlText w:val="•"/>
      <w:lvlJc w:val="left"/>
      <w:pPr>
        <w:ind w:left="3646" w:hanging="361"/>
      </w:pPr>
      <w:rPr>
        <w:rFonts w:hint="default"/>
      </w:rPr>
    </w:lvl>
    <w:lvl w:ilvl="4" w:tplc="1B2CED82">
      <w:numFmt w:val="bullet"/>
      <w:lvlText w:val="•"/>
      <w:lvlJc w:val="left"/>
      <w:pPr>
        <w:ind w:left="4626" w:hanging="361"/>
      </w:pPr>
      <w:rPr>
        <w:rFonts w:hint="default"/>
      </w:rPr>
    </w:lvl>
    <w:lvl w:ilvl="5" w:tplc="3EDE3804">
      <w:numFmt w:val="bullet"/>
      <w:lvlText w:val="•"/>
      <w:lvlJc w:val="left"/>
      <w:pPr>
        <w:ind w:left="5606" w:hanging="361"/>
      </w:pPr>
      <w:rPr>
        <w:rFonts w:hint="default"/>
      </w:rPr>
    </w:lvl>
    <w:lvl w:ilvl="6" w:tplc="70421996">
      <w:numFmt w:val="bullet"/>
      <w:lvlText w:val="•"/>
      <w:lvlJc w:val="left"/>
      <w:pPr>
        <w:ind w:left="6586" w:hanging="361"/>
      </w:pPr>
      <w:rPr>
        <w:rFonts w:hint="default"/>
      </w:rPr>
    </w:lvl>
    <w:lvl w:ilvl="7" w:tplc="18F85442">
      <w:numFmt w:val="bullet"/>
      <w:lvlText w:val="•"/>
      <w:lvlJc w:val="left"/>
      <w:pPr>
        <w:ind w:left="7566" w:hanging="361"/>
      </w:pPr>
      <w:rPr>
        <w:rFonts w:hint="default"/>
      </w:rPr>
    </w:lvl>
    <w:lvl w:ilvl="8" w:tplc="C964A5A0">
      <w:numFmt w:val="bullet"/>
      <w:lvlText w:val="•"/>
      <w:lvlJc w:val="left"/>
      <w:pPr>
        <w:ind w:left="854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6"/>
    <w:rsid w:val="002322AD"/>
    <w:rsid w:val="00684821"/>
    <w:rsid w:val="00711EF5"/>
    <w:rsid w:val="007460CD"/>
    <w:rsid w:val="00754B46"/>
    <w:rsid w:val="009F1F28"/>
    <w:rsid w:val="00C2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73F620"/>
  <w15:docId w15:val="{3D366FF6-3A6A-41D2-86E7-A10AFC2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63"/>
      <w:ind w:left="134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2AD"/>
    <w:rPr>
      <w:color w:val="0000FF" w:themeColor="hyperlink"/>
      <w:u w:val="single"/>
    </w:rPr>
  </w:style>
  <w:style w:type="character" w:styleId="FollowedHyperlink">
    <w:name w:val="FollowedHyperlink"/>
    <w:basedOn w:val="DefaultParagraphFont"/>
    <w:uiPriority w:val="99"/>
    <w:semiHidden/>
    <w:unhideWhenUsed/>
    <w:rsid w:val="00C246A9"/>
    <w:rPr>
      <w:color w:val="800080" w:themeColor="followedHyperlink"/>
      <w:u w:val="single"/>
    </w:rPr>
  </w:style>
  <w:style w:type="paragraph" w:styleId="NormalWeb">
    <w:name w:val="Normal (Web)"/>
    <w:basedOn w:val="Normal"/>
    <w:uiPriority w:val="99"/>
    <w:semiHidden/>
    <w:unhideWhenUsed/>
    <w:rsid w:val="00C246A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fr.io/Title-34/se34.2.300_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3</cp:revision>
  <dcterms:created xsi:type="dcterms:W3CDTF">2018-10-04T18:25:00Z</dcterms:created>
  <dcterms:modified xsi:type="dcterms:W3CDTF">2018-10-04T18:27:00Z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18 for Word</vt:lpwstr>
  </property>
  <property fmtid="{D5CDD505-2E9C-101B-9397-08002B2CF9AE}" pid="4" name="LastSaved">
    <vt:filetime>2018-10-04T00:00:00Z</vt:filetime>
  </property>
</Properties>
</file>