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EF" w:rsidRPr="001F0BEF" w:rsidRDefault="001F0BEF" w:rsidP="001F0BEF">
      <w:pPr>
        <w:spacing w:before="67"/>
        <w:rPr>
          <w:b/>
          <w:sz w:val="36"/>
          <w:szCs w:val="36"/>
        </w:rPr>
      </w:pPr>
      <w:r w:rsidRPr="001F0BEF">
        <w:rPr>
          <w:b/>
          <w:sz w:val="36"/>
          <w:szCs w:val="36"/>
        </w:rPr>
        <w:t>Oregon’s Post School Outcome Data Collection at a glance</w:t>
      </w:r>
    </w:p>
    <w:p w:rsidR="001F0BEF" w:rsidRDefault="001F0BEF" w:rsidP="001F0BEF">
      <w:pPr>
        <w:pStyle w:val="BodyText"/>
        <w:spacing w:before="10"/>
        <w:rPr>
          <w:b/>
          <w:sz w:val="34"/>
        </w:rPr>
      </w:pPr>
    </w:p>
    <w:p w:rsidR="001F0BEF" w:rsidRDefault="001F0BEF" w:rsidP="001F0BEF">
      <w:pPr>
        <w:spacing w:line="252" w:lineRule="auto"/>
        <w:ind w:left="108"/>
        <w:rPr>
          <w:i/>
          <w:sz w:val="21"/>
        </w:rPr>
      </w:pPr>
      <w:r>
        <w:rPr>
          <w:i/>
          <w:w w:val="105"/>
          <w:sz w:val="21"/>
        </w:rPr>
        <w:t>Indicator 14 of the SPP requires that school districts must collect, and Oregon Department of Education (ODE) must report the percentage of special education students who are</w:t>
      </w:r>
    </w:p>
    <w:p w:rsidR="001F0BEF" w:rsidRDefault="001F0BEF" w:rsidP="001F0BEF">
      <w:pPr>
        <w:pStyle w:val="ListParagraph"/>
        <w:numPr>
          <w:ilvl w:val="0"/>
          <w:numId w:val="3"/>
        </w:numPr>
        <w:tabs>
          <w:tab w:val="left" w:pos="1184"/>
        </w:tabs>
        <w:spacing w:before="2"/>
        <w:rPr>
          <w:rFonts w:ascii="Arial"/>
          <w:i/>
          <w:sz w:val="21"/>
        </w:rPr>
      </w:pPr>
      <w:r>
        <w:rPr>
          <w:rFonts w:ascii="Arial"/>
          <w:i/>
          <w:w w:val="105"/>
          <w:sz w:val="21"/>
        </w:rPr>
        <w:t>Enrolled in higher</w:t>
      </w:r>
      <w:r>
        <w:rPr>
          <w:rFonts w:ascii="Arial"/>
          <w:i/>
          <w:spacing w:val="3"/>
          <w:w w:val="105"/>
          <w:sz w:val="21"/>
        </w:rPr>
        <w:t xml:space="preserve"> </w:t>
      </w:r>
      <w:r>
        <w:rPr>
          <w:rFonts w:ascii="Arial"/>
          <w:i/>
          <w:w w:val="105"/>
          <w:sz w:val="21"/>
        </w:rPr>
        <w:t>education,</w:t>
      </w:r>
    </w:p>
    <w:p w:rsidR="001F0BEF" w:rsidRDefault="001F0BEF" w:rsidP="001F0BEF">
      <w:pPr>
        <w:pStyle w:val="ListParagraph"/>
        <w:numPr>
          <w:ilvl w:val="0"/>
          <w:numId w:val="3"/>
        </w:numPr>
        <w:tabs>
          <w:tab w:val="left" w:pos="1184"/>
        </w:tabs>
        <w:spacing w:before="8"/>
        <w:rPr>
          <w:rFonts w:ascii="Arial"/>
          <w:i/>
          <w:sz w:val="21"/>
        </w:rPr>
      </w:pPr>
      <w:r>
        <w:rPr>
          <w:rFonts w:ascii="Arial"/>
          <w:i/>
          <w:w w:val="105"/>
          <w:sz w:val="21"/>
        </w:rPr>
        <w:t>Competitively employed, or</w:t>
      </w:r>
    </w:p>
    <w:p w:rsidR="001F0BEF" w:rsidRDefault="001F0BEF" w:rsidP="001F0BEF">
      <w:pPr>
        <w:pStyle w:val="ListParagraph"/>
        <w:numPr>
          <w:ilvl w:val="0"/>
          <w:numId w:val="3"/>
        </w:numPr>
        <w:tabs>
          <w:tab w:val="left" w:pos="1196"/>
        </w:tabs>
        <w:spacing w:before="13"/>
        <w:ind w:left="1195" w:hanging="367"/>
        <w:rPr>
          <w:rFonts w:ascii="Arial"/>
          <w:i/>
          <w:sz w:val="21"/>
        </w:rPr>
      </w:pPr>
      <w:r>
        <w:rPr>
          <w:rFonts w:ascii="Arial"/>
          <w:i/>
          <w:w w:val="105"/>
          <w:sz w:val="21"/>
        </w:rPr>
        <w:t>In some other postsecondary education or training, or some other employment,</w:t>
      </w:r>
    </w:p>
    <w:p w:rsidR="001F0BEF" w:rsidRDefault="001F0BEF" w:rsidP="001F0BEF">
      <w:pPr>
        <w:spacing w:before="13" w:line="252" w:lineRule="auto"/>
        <w:ind w:left="108"/>
        <w:rPr>
          <w:i/>
          <w:sz w:val="21"/>
        </w:rPr>
      </w:pPr>
      <w:proofErr w:type="gramStart"/>
      <w:r>
        <w:rPr>
          <w:i/>
          <w:w w:val="105"/>
          <w:sz w:val="21"/>
        </w:rPr>
        <w:t>one</w:t>
      </w:r>
      <w:proofErr w:type="gramEnd"/>
      <w:r>
        <w:rPr>
          <w:i/>
          <w:w w:val="105"/>
          <w:sz w:val="21"/>
        </w:rPr>
        <w:t xml:space="preserve"> year after leaving special education services. This includes students all students who leave, including graduates with a regular, modified, or extended diploma, finish without a regular diploma, and drop outs.</w:t>
      </w:r>
    </w:p>
    <w:p w:rsidR="001F0BEF" w:rsidRDefault="001F0BEF" w:rsidP="001F0BEF">
      <w:pPr>
        <w:pStyle w:val="BodyText"/>
        <w:rPr>
          <w:i/>
        </w:rPr>
      </w:pPr>
    </w:p>
    <w:p w:rsidR="001F0BEF" w:rsidRDefault="001F0BEF" w:rsidP="001F0BEF">
      <w:pPr>
        <w:pStyle w:val="Heading1"/>
      </w:pPr>
      <w:r>
        <w:rPr>
          <w:w w:val="105"/>
          <w:u w:val="single"/>
        </w:rPr>
        <w:t>Definitions:</w:t>
      </w:r>
    </w:p>
    <w:p w:rsidR="001F0BEF" w:rsidRDefault="001F0BEF" w:rsidP="001F0BEF">
      <w:pPr>
        <w:pStyle w:val="ListParagraph"/>
        <w:numPr>
          <w:ilvl w:val="0"/>
          <w:numId w:val="2"/>
        </w:numPr>
        <w:tabs>
          <w:tab w:val="left" w:pos="468"/>
          <w:tab w:val="left" w:pos="469"/>
        </w:tabs>
        <w:spacing w:before="14" w:line="252" w:lineRule="auto"/>
        <w:ind w:right="377"/>
        <w:rPr>
          <w:sz w:val="19"/>
        </w:rPr>
      </w:pPr>
      <w:r>
        <w:rPr>
          <w:w w:val="105"/>
          <w:sz w:val="19"/>
        </w:rPr>
        <w:t xml:space="preserve">Engaged in </w:t>
      </w:r>
      <w:r>
        <w:rPr>
          <w:b/>
          <w:i/>
          <w:w w:val="105"/>
          <w:sz w:val="19"/>
        </w:rPr>
        <w:t xml:space="preserve">higher education -- </w:t>
      </w:r>
      <w:r>
        <w:rPr>
          <w:w w:val="105"/>
          <w:sz w:val="19"/>
        </w:rPr>
        <w:t>a student who is enrolled in a two- or four-year degree program provided by a community or technical college (two-year) and/or college/university (four- or more year program) for at least one</w:t>
      </w:r>
      <w:r>
        <w:rPr>
          <w:spacing w:val="5"/>
          <w:w w:val="105"/>
          <w:sz w:val="19"/>
        </w:rPr>
        <w:t xml:space="preserve"> </w:t>
      </w:r>
      <w:r>
        <w:rPr>
          <w:w w:val="105"/>
          <w:sz w:val="19"/>
        </w:rPr>
        <w:t>term.</w:t>
      </w:r>
    </w:p>
    <w:p w:rsidR="001F0BEF" w:rsidRDefault="001F0BEF" w:rsidP="001F0BEF">
      <w:pPr>
        <w:pStyle w:val="ListParagraph"/>
        <w:numPr>
          <w:ilvl w:val="0"/>
          <w:numId w:val="2"/>
        </w:numPr>
        <w:tabs>
          <w:tab w:val="left" w:pos="468"/>
          <w:tab w:val="left" w:pos="469"/>
        </w:tabs>
        <w:spacing w:line="252" w:lineRule="auto"/>
        <w:ind w:right="163"/>
        <w:rPr>
          <w:sz w:val="19"/>
        </w:rPr>
      </w:pPr>
      <w:r>
        <w:rPr>
          <w:b/>
          <w:i/>
          <w:w w:val="105"/>
          <w:sz w:val="19"/>
        </w:rPr>
        <w:t xml:space="preserve">Other postsecondary education or training </w:t>
      </w:r>
      <w:r>
        <w:rPr>
          <w:w w:val="105"/>
          <w:sz w:val="19"/>
        </w:rPr>
        <w:t xml:space="preserve">includes </w:t>
      </w:r>
      <w:r>
        <w:rPr>
          <w:w w:val="105"/>
          <w:sz w:val="19"/>
          <w:u w:val="single"/>
        </w:rPr>
        <w:t>all other</w:t>
      </w:r>
      <w:r>
        <w:rPr>
          <w:w w:val="105"/>
          <w:sz w:val="19"/>
        </w:rPr>
        <w:t xml:space="preserve"> postsecondary education or training programs. These may include, but are not are limited, to: Adult Basic Education, General Education Development (GED); Short-term education or employment training program (e.g., Job Corps); Vocational technical school (less than a two-year program), and formal programs such as Peace Corps, Vista, AmeriCorps programs, and others Etc. that include “at least one complete term” of participation.</w:t>
      </w:r>
    </w:p>
    <w:p w:rsidR="001F0BEF" w:rsidRDefault="001F0BEF" w:rsidP="001F0BEF">
      <w:pPr>
        <w:pStyle w:val="ListParagraph"/>
        <w:numPr>
          <w:ilvl w:val="0"/>
          <w:numId w:val="2"/>
        </w:numPr>
        <w:tabs>
          <w:tab w:val="left" w:pos="469"/>
        </w:tabs>
        <w:spacing w:line="254" w:lineRule="auto"/>
        <w:ind w:right="184"/>
        <w:jc w:val="both"/>
        <w:rPr>
          <w:sz w:val="19"/>
        </w:rPr>
      </w:pPr>
      <w:r>
        <w:rPr>
          <w:b/>
          <w:i/>
          <w:w w:val="105"/>
          <w:sz w:val="19"/>
        </w:rPr>
        <w:t xml:space="preserve">Competitive employment </w:t>
      </w:r>
      <w:r>
        <w:rPr>
          <w:w w:val="105"/>
          <w:sz w:val="19"/>
        </w:rPr>
        <w:t>means that youth have worked for pay at or above the minimum wage in a setting with others who are nondisabled at 20 or more hours a week for at least 90 days at any time in the year since leaving high school. This includes military</w:t>
      </w:r>
      <w:r>
        <w:rPr>
          <w:spacing w:val="6"/>
          <w:w w:val="105"/>
          <w:sz w:val="19"/>
        </w:rPr>
        <w:t xml:space="preserve"> </w:t>
      </w:r>
      <w:r>
        <w:rPr>
          <w:w w:val="105"/>
          <w:sz w:val="19"/>
        </w:rPr>
        <w:t>employment.</w:t>
      </w:r>
    </w:p>
    <w:p w:rsidR="001F0BEF" w:rsidRDefault="001F0BEF" w:rsidP="001F0BEF">
      <w:pPr>
        <w:pStyle w:val="ListParagraph"/>
        <w:numPr>
          <w:ilvl w:val="0"/>
          <w:numId w:val="2"/>
        </w:numPr>
        <w:tabs>
          <w:tab w:val="left" w:pos="469"/>
        </w:tabs>
        <w:spacing w:line="254" w:lineRule="auto"/>
        <w:ind w:right="169"/>
        <w:jc w:val="both"/>
        <w:rPr>
          <w:sz w:val="19"/>
        </w:rPr>
      </w:pPr>
      <w:r>
        <w:rPr>
          <w:b/>
          <w:i/>
          <w:w w:val="105"/>
          <w:sz w:val="19"/>
        </w:rPr>
        <w:t xml:space="preserve">Some other employment </w:t>
      </w:r>
      <w:r>
        <w:rPr>
          <w:w w:val="105"/>
          <w:sz w:val="19"/>
        </w:rPr>
        <w:t>means youth have worked for pay or been self-employed for a period of at least 90 days at any time in the year since leaving high school. This includes working in a family business (e.g., farm, store, fishing, ranching, catering services,</w:t>
      </w:r>
      <w:r>
        <w:rPr>
          <w:spacing w:val="3"/>
          <w:w w:val="105"/>
          <w:sz w:val="19"/>
        </w:rPr>
        <w:t xml:space="preserve"> </w:t>
      </w:r>
      <w:r>
        <w:rPr>
          <w:w w:val="105"/>
          <w:sz w:val="19"/>
        </w:rPr>
        <w:t>etc.).</w:t>
      </w:r>
    </w:p>
    <w:p w:rsidR="001F0BEF" w:rsidRDefault="001F0BEF" w:rsidP="001F0BEF">
      <w:pPr>
        <w:pStyle w:val="BodyText"/>
        <w:spacing w:before="6"/>
        <w:rPr>
          <w:rFonts w:ascii="Verdana"/>
          <w:sz w:val="19"/>
        </w:rPr>
      </w:pPr>
    </w:p>
    <w:p w:rsidR="001F0BEF" w:rsidRDefault="001F0BEF" w:rsidP="001F0BEF">
      <w:pPr>
        <w:pStyle w:val="Heading1"/>
      </w:pPr>
      <w:r>
        <w:rPr>
          <w:w w:val="105"/>
          <w:u w:val="single"/>
        </w:rPr>
        <w:t>Data collection:</w:t>
      </w:r>
    </w:p>
    <w:p w:rsidR="001F0BEF" w:rsidRDefault="001F0BEF" w:rsidP="001F0BEF">
      <w:pPr>
        <w:pStyle w:val="BodyText"/>
        <w:spacing w:before="133" w:line="249" w:lineRule="auto"/>
        <w:ind w:left="108"/>
      </w:pPr>
      <w:r>
        <w:rPr>
          <w:w w:val="105"/>
        </w:rPr>
        <w:t xml:space="preserve">ODE must ensure that data are collected from each district each year. School districts are responsible for their data collection procedures, including staff assigned. The names of students to be interviewed, contact information, and online data entry, </w:t>
      </w:r>
      <w:proofErr w:type="gramStart"/>
      <w:r>
        <w:rPr>
          <w:w w:val="105"/>
        </w:rPr>
        <w:t>are</w:t>
      </w:r>
      <w:proofErr w:type="gramEnd"/>
      <w:r>
        <w:rPr>
          <w:w w:val="105"/>
        </w:rPr>
        <w:t xml:space="preserve"> available on the secure district web site </w:t>
      </w:r>
      <w:r>
        <w:rPr>
          <w:color w:val="0000FF"/>
          <w:w w:val="105"/>
          <w:u w:val="single" w:color="0000FF"/>
        </w:rPr>
        <w:t>https://district.ode.state.or.us</w:t>
      </w:r>
      <w:r>
        <w:rPr>
          <w:w w:val="105"/>
        </w:rPr>
        <w:t>.</w:t>
      </w:r>
    </w:p>
    <w:p w:rsidR="001F0BEF" w:rsidRDefault="001F0BEF" w:rsidP="001F0BEF">
      <w:pPr>
        <w:pStyle w:val="Heading1"/>
        <w:spacing w:before="125"/>
      </w:pPr>
      <w:r>
        <w:rPr>
          <w:w w:val="105"/>
          <w:u w:val="single"/>
        </w:rPr>
        <w:t>How many interviews are required?</w:t>
      </w:r>
    </w:p>
    <w:p w:rsidR="001F0BEF" w:rsidRDefault="001F0BEF" w:rsidP="001F0BEF">
      <w:pPr>
        <w:pStyle w:val="BodyText"/>
        <w:spacing w:before="128" w:line="252" w:lineRule="auto"/>
        <w:ind w:left="108"/>
      </w:pPr>
      <w:r>
        <w:rPr>
          <w:w w:val="105"/>
        </w:rPr>
        <w:t>All students (ages 14-21) who left special education for the final time during the school year should be interviewed. Generally, for the state, this is about 4,500 students.</w:t>
      </w:r>
    </w:p>
    <w:p w:rsidR="001F0BEF" w:rsidRDefault="001F0BEF" w:rsidP="001F0BEF">
      <w:pPr>
        <w:pStyle w:val="Heading1"/>
        <w:spacing w:before="121"/>
      </w:pPr>
      <w:r>
        <w:rPr>
          <w:w w:val="105"/>
          <w:u w:val="single"/>
        </w:rPr>
        <w:t>What performance level is required?</w:t>
      </w:r>
    </w:p>
    <w:p w:rsidR="001F0BEF" w:rsidRDefault="001F0BEF" w:rsidP="001F0BEF">
      <w:pPr>
        <w:pStyle w:val="ListParagraph"/>
        <w:numPr>
          <w:ilvl w:val="0"/>
          <w:numId w:val="1"/>
        </w:numPr>
        <w:tabs>
          <w:tab w:val="left" w:pos="468"/>
          <w:tab w:val="left" w:pos="469"/>
        </w:tabs>
        <w:spacing w:before="133" w:line="244" w:lineRule="auto"/>
        <w:ind w:right="1107" w:hanging="360"/>
        <w:rPr>
          <w:rFonts w:ascii="Arial"/>
          <w:sz w:val="21"/>
        </w:rPr>
      </w:pPr>
      <w:r>
        <w:rPr>
          <w:rFonts w:ascii="Arial"/>
          <w:w w:val="105"/>
          <w:sz w:val="21"/>
        </w:rPr>
        <w:t>Stakeholders</w:t>
      </w:r>
      <w:r>
        <w:rPr>
          <w:rFonts w:ascii="Arial"/>
          <w:spacing w:val="-5"/>
          <w:w w:val="105"/>
          <w:sz w:val="21"/>
        </w:rPr>
        <w:t xml:space="preserve"> </w:t>
      </w:r>
      <w:r>
        <w:rPr>
          <w:rFonts w:ascii="Arial"/>
          <w:w w:val="105"/>
          <w:sz w:val="21"/>
        </w:rPr>
        <w:t>set</w:t>
      </w:r>
      <w:r>
        <w:rPr>
          <w:rFonts w:ascii="Arial"/>
          <w:spacing w:val="-5"/>
          <w:w w:val="105"/>
          <w:sz w:val="21"/>
        </w:rPr>
        <w:t xml:space="preserve"> </w:t>
      </w:r>
      <w:r>
        <w:rPr>
          <w:rFonts w:ascii="Arial"/>
          <w:w w:val="105"/>
          <w:sz w:val="21"/>
        </w:rPr>
        <w:t>targets</w:t>
      </w:r>
      <w:r>
        <w:rPr>
          <w:rFonts w:ascii="Arial"/>
          <w:spacing w:val="-5"/>
          <w:w w:val="105"/>
          <w:sz w:val="21"/>
        </w:rPr>
        <w:t xml:space="preserve"> </w:t>
      </w:r>
      <w:r>
        <w:rPr>
          <w:rFonts w:ascii="Arial"/>
          <w:w w:val="105"/>
          <w:sz w:val="21"/>
        </w:rPr>
        <w:t>for</w:t>
      </w:r>
      <w:r>
        <w:rPr>
          <w:rFonts w:ascii="Arial"/>
          <w:spacing w:val="-5"/>
          <w:w w:val="105"/>
          <w:sz w:val="21"/>
        </w:rPr>
        <w:t xml:space="preserve"> </w:t>
      </w:r>
      <w:r>
        <w:rPr>
          <w:rFonts w:ascii="Arial"/>
          <w:w w:val="105"/>
          <w:sz w:val="21"/>
        </w:rPr>
        <w:t>the</w:t>
      </w:r>
      <w:r>
        <w:rPr>
          <w:rFonts w:ascii="Arial"/>
          <w:spacing w:val="-4"/>
          <w:w w:val="105"/>
          <w:sz w:val="21"/>
        </w:rPr>
        <w:t xml:space="preserve"> </w:t>
      </w:r>
      <w:r>
        <w:rPr>
          <w:rFonts w:ascii="Arial"/>
          <w:w w:val="105"/>
          <w:sz w:val="21"/>
        </w:rPr>
        <w:t>number</w:t>
      </w:r>
      <w:r>
        <w:rPr>
          <w:rFonts w:ascii="Arial"/>
          <w:spacing w:val="-5"/>
          <w:w w:val="105"/>
          <w:sz w:val="21"/>
        </w:rPr>
        <w:t xml:space="preserve"> </w:t>
      </w:r>
      <w:r>
        <w:rPr>
          <w:rFonts w:ascii="Arial"/>
          <w:w w:val="105"/>
          <w:sz w:val="21"/>
        </w:rPr>
        <w:t>of</w:t>
      </w:r>
      <w:r>
        <w:rPr>
          <w:rFonts w:ascii="Arial"/>
          <w:spacing w:val="-6"/>
          <w:w w:val="105"/>
          <w:sz w:val="21"/>
        </w:rPr>
        <w:t xml:space="preserve"> </w:t>
      </w:r>
      <w:r>
        <w:rPr>
          <w:rFonts w:ascii="Arial"/>
          <w:w w:val="105"/>
          <w:sz w:val="21"/>
        </w:rPr>
        <w:t>students</w:t>
      </w:r>
      <w:r>
        <w:rPr>
          <w:rFonts w:ascii="Arial"/>
          <w:spacing w:val="-5"/>
          <w:w w:val="105"/>
          <w:sz w:val="21"/>
        </w:rPr>
        <w:t xml:space="preserve"> </w:t>
      </w:r>
      <w:r>
        <w:rPr>
          <w:rFonts w:ascii="Arial"/>
          <w:w w:val="105"/>
          <w:sz w:val="21"/>
        </w:rPr>
        <w:t>attending</w:t>
      </w:r>
      <w:r>
        <w:rPr>
          <w:rFonts w:ascii="Arial"/>
          <w:spacing w:val="-4"/>
          <w:w w:val="105"/>
          <w:sz w:val="21"/>
        </w:rPr>
        <w:t xml:space="preserve"> </w:t>
      </w:r>
      <w:r>
        <w:rPr>
          <w:rFonts w:ascii="Arial"/>
          <w:w w:val="105"/>
          <w:sz w:val="21"/>
        </w:rPr>
        <w:t>Higher</w:t>
      </w:r>
      <w:r>
        <w:rPr>
          <w:rFonts w:ascii="Arial"/>
          <w:spacing w:val="-5"/>
          <w:w w:val="105"/>
          <w:sz w:val="21"/>
        </w:rPr>
        <w:t xml:space="preserve"> </w:t>
      </w:r>
      <w:r>
        <w:rPr>
          <w:rFonts w:ascii="Arial"/>
          <w:w w:val="105"/>
          <w:sz w:val="21"/>
        </w:rPr>
        <w:t>Education,</w:t>
      </w:r>
      <w:r>
        <w:rPr>
          <w:rFonts w:ascii="Arial"/>
          <w:spacing w:val="-6"/>
          <w:w w:val="105"/>
          <w:sz w:val="21"/>
        </w:rPr>
        <w:t xml:space="preserve"> </w:t>
      </w:r>
      <w:r>
        <w:rPr>
          <w:rFonts w:ascii="Arial"/>
          <w:w w:val="105"/>
          <w:sz w:val="21"/>
        </w:rPr>
        <w:t>Competitively Employed, and engaged in other school or other work, based on baseline</w:t>
      </w:r>
      <w:r>
        <w:rPr>
          <w:rFonts w:ascii="Arial"/>
          <w:spacing w:val="-19"/>
          <w:w w:val="105"/>
          <w:sz w:val="21"/>
        </w:rPr>
        <w:t xml:space="preserve"> </w:t>
      </w:r>
      <w:r>
        <w:rPr>
          <w:rFonts w:ascii="Arial"/>
          <w:w w:val="105"/>
          <w:sz w:val="21"/>
        </w:rPr>
        <w:t>performance</w:t>
      </w:r>
    </w:p>
    <w:p w:rsidR="001F0BEF" w:rsidRDefault="001F0BEF" w:rsidP="001F0BEF">
      <w:pPr>
        <w:pStyle w:val="ListParagraph"/>
        <w:numPr>
          <w:ilvl w:val="0"/>
          <w:numId w:val="1"/>
        </w:numPr>
        <w:tabs>
          <w:tab w:val="left" w:pos="468"/>
          <w:tab w:val="left" w:pos="469"/>
        </w:tabs>
        <w:spacing w:before="9"/>
        <w:ind w:hanging="360"/>
        <w:rPr>
          <w:rFonts w:ascii="Arial"/>
          <w:sz w:val="21"/>
        </w:rPr>
      </w:pPr>
      <w:r>
        <w:rPr>
          <w:rFonts w:ascii="Arial"/>
          <w:w w:val="105"/>
          <w:sz w:val="21"/>
        </w:rPr>
        <w:t>Targets must be measurable and</w:t>
      </w:r>
      <w:r>
        <w:rPr>
          <w:rFonts w:ascii="Arial"/>
          <w:spacing w:val="1"/>
          <w:w w:val="105"/>
          <w:sz w:val="21"/>
        </w:rPr>
        <w:t xml:space="preserve"> </w:t>
      </w:r>
      <w:r>
        <w:rPr>
          <w:rFonts w:ascii="Arial"/>
          <w:w w:val="105"/>
          <w:sz w:val="21"/>
        </w:rPr>
        <w:t>rigorous</w:t>
      </w:r>
    </w:p>
    <w:p w:rsidR="001F0BEF" w:rsidRDefault="001F0BEF" w:rsidP="001F0BEF">
      <w:pPr>
        <w:pStyle w:val="ListParagraph"/>
        <w:numPr>
          <w:ilvl w:val="0"/>
          <w:numId w:val="1"/>
        </w:numPr>
        <w:tabs>
          <w:tab w:val="left" w:pos="468"/>
          <w:tab w:val="left" w:pos="469"/>
        </w:tabs>
        <w:spacing w:before="11" w:line="244" w:lineRule="auto"/>
        <w:ind w:right="253" w:hanging="360"/>
        <w:rPr>
          <w:rFonts w:ascii="Arial"/>
          <w:sz w:val="21"/>
        </w:rPr>
      </w:pPr>
      <w:r>
        <w:rPr>
          <w:rFonts w:ascii="Arial"/>
          <w:w w:val="105"/>
          <w:sz w:val="21"/>
        </w:rPr>
        <w:t>Districts</w:t>
      </w:r>
      <w:r>
        <w:rPr>
          <w:rFonts w:ascii="Arial"/>
          <w:spacing w:val="-4"/>
          <w:w w:val="105"/>
          <w:sz w:val="21"/>
        </w:rPr>
        <w:t xml:space="preserve"> </w:t>
      </w:r>
      <w:r>
        <w:rPr>
          <w:rFonts w:ascii="Arial"/>
          <w:w w:val="105"/>
          <w:sz w:val="21"/>
        </w:rPr>
        <w:t>are</w:t>
      </w:r>
      <w:r>
        <w:rPr>
          <w:rFonts w:ascii="Arial"/>
          <w:spacing w:val="-4"/>
          <w:w w:val="105"/>
          <w:sz w:val="21"/>
        </w:rPr>
        <w:t xml:space="preserve"> </w:t>
      </w:r>
      <w:r>
        <w:rPr>
          <w:rFonts w:ascii="Arial"/>
          <w:w w:val="105"/>
          <w:sz w:val="21"/>
        </w:rPr>
        <w:t>expected</w:t>
      </w:r>
      <w:r>
        <w:rPr>
          <w:rFonts w:ascii="Arial"/>
          <w:spacing w:val="-4"/>
          <w:w w:val="105"/>
          <w:sz w:val="21"/>
        </w:rPr>
        <w:t xml:space="preserve"> </w:t>
      </w:r>
      <w:r>
        <w:rPr>
          <w:rFonts w:ascii="Arial"/>
          <w:w w:val="105"/>
          <w:sz w:val="21"/>
        </w:rPr>
        <w:t>to</w:t>
      </w:r>
      <w:r>
        <w:rPr>
          <w:rFonts w:ascii="Arial"/>
          <w:spacing w:val="-4"/>
          <w:w w:val="105"/>
          <w:sz w:val="21"/>
        </w:rPr>
        <w:t xml:space="preserve"> </w:t>
      </w:r>
      <w:r>
        <w:rPr>
          <w:rFonts w:ascii="Arial"/>
          <w:w w:val="105"/>
          <w:sz w:val="21"/>
        </w:rPr>
        <w:t>meet</w:t>
      </w:r>
      <w:r>
        <w:rPr>
          <w:rFonts w:ascii="Arial"/>
          <w:spacing w:val="-5"/>
          <w:w w:val="105"/>
          <w:sz w:val="21"/>
        </w:rPr>
        <w:t xml:space="preserve"> </w:t>
      </w:r>
      <w:r>
        <w:rPr>
          <w:rFonts w:ascii="Arial"/>
          <w:w w:val="105"/>
          <w:sz w:val="21"/>
        </w:rPr>
        <w:t>state</w:t>
      </w:r>
      <w:r>
        <w:rPr>
          <w:rFonts w:ascii="Arial"/>
          <w:spacing w:val="-4"/>
          <w:w w:val="105"/>
          <w:sz w:val="21"/>
        </w:rPr>
        <w:t xml:space="preserve"> </w:t>
      </w:r>
      <w:r>
        <w:rPr>
          <w:rFonts w:ascii="Arial"/>
          <w:w w:val="105"/>
          <w:sz w:val="21"/>
        </w:rPr>
        <w:t>target</w:t>
      </w:r>
      <w:r>
        <w:rPr>
          <w:rFonts w:ascii="Arial"/>
          <w:spacing w:val="-5"/>
          <w:w w:val="105"/>
          <w:sz w:val="21"/>
        </w:rPr>
        <w:t xml:space="preserve"> </w:t>
      </w:r>
      <w:r>
        <w:rPr>
          <w:rFonts w:ascii="Arial"/>
          <w:w w:val="105"/>
          <w:sz w:val="21"/>
        </w:rPr>
        <w:t>goals</w:t>
      </w:r>
      <w:r>
        <w:rPr>
          <w:rFonts w:ascii="Arial"/>
          <w:spacing w:val="-4"/>
          <w:w w:val="105"/>
          <w:sz w:val="21"/>
        </w:rPr>
        <w:t xml:space="preserve"> </w:t>
      </w:r>
      <w:r>
        <w:rPr>
          <w:rFonts w:ascii="Arial"/>
          <w:w w:val="105"/>
          <w:sz w:val="21"/>
        </w:rPr>
        <w:t>for</w:t>
      </w:r>
      <w:r>
        <w:rPr>
          <w:rFonts w:ascii="Arial"/>
          <w:spacing w:val="-4"/>
          <w:w w:val="105"/>
          <w:sz w:val="21"/>
        </w:rPr>
        <w:t xml:space="preserve"> </w:t>
      </w:r>
      <w:r>
        <w:rPr>
          <w:rFonts w:ascii="Arial"/>
          <w:w w:val="105"/>
          <w:sz w:val="21"/>
        </w:rPr>
        <w:t>each</w:t>
      </w:r>
      <w:r>
        <w:rPr>
          <w:rFonts w:ascii="Arial"/>
          <w:spacing w:val="-4"/>
          <w:w w:val="105"/>
          <w:sz w:val="21"/>
        </w:rPr>
        <w:t xml:space="preserve"> </w:t>
      </w:r>
      <w:r>
        <w:rPr>
          <w:rFonts w:ascii="Arial"/>
          <w:w w:val="105"/>
          <w:sz w:val="21"/>
        </w:rPr>
        <w:t>of</w:t>
      </w:r>
      <w:r>
        <w:rPr>
          <w:rFonts w:ascii="Arial"/>
          <w:spacing w:val="-5"/>
          <w:w w:val="105"/>
          <w:sz w:val="21"/>
        </w:rPr>
        <w:t xml:space="preserve"> </w:t>
      </w:r>
      <w:r>
        <w:rPr>
          <w:rFonts w:ascii="Arial"/>
          <w:w w:val="105"/>
          <w:sz w:val="21"/>
        </w:rPr>
        <w:t>the</w:t>
      </w:r>
      <w:r>
        <w:rPr>
          <w:rFonts w:ascii="Arial"/>
          <w:spacing w:val="-1"/>
          <w:w w:val="105"/>
          <w:sz w:val="21"/>
        </w:rPr>
        <w:t xml:space="preserve"> </w:t>
      </w:r>
      <w:r>
        <w:rPr>
          <w:rFonts w:ascii="Arial"/>
          <w:w w:val="105"/>
          <w:sz w:val="21"/>
        </w:rPr>
        <w:t>measurements,</w:t>
      </w:r>
      <w:r>
        <w:rPr>
          <w:rFonts w:ascii="Arial"/>
          <w:spacing w:val="-5"/>
          <w:w w:val="105"/>
          <w:sz w:val="21"/>
        </w:rPr>
        <w:t xml:space="preserve"> </w:t>
      </w:r>
      <w:r>
        <w:rPr>
          <w:rFonts w:ascii="Arial"/>
          <w:w w:val="105"/>
          <w:sz w:val="21"/>
        </w:rPr>
        <w:t>and</w:t>
      </w:r>
      <w:r>
        <w:rPr>
          <w:rFonts w:ascii="Arial"/>
          <w:spacing w:val="-3"/>
          <w:w w:val="105"/>
          <w:sz w:val="21"/>
        </w:rPr>
        <w:t xml:space="preserve"> </w:t>
      </w:r>
      <w:r>
        <w:rPr>
          <w:rFonts w:ascii="Arial"/>
          <w:w w:val="105"/>
          <w:sz w:val="21"/>
        </w:rPr>
        <w:t>complete</w:t>
      </w:r>
      <w:r>
        <w:rPr>
          <w:rFonts w:ascii="Arial"/>
          <w:spacing w:val="-3"/>
          <w:w w:val="105"/>
          <w:sz w:val="21"/>
        </w:rPr>
        <w:t xml:space="preserve"> </w:t>
      </w:r>
      <w:r>
        <w:rPr>
          <w:rFonts w:ascii="Arial"/>
          <w:w w:val="105"/>
          <w:sz w:val="21"/>
        </w:rPr>
        <w:t>sufficient interviews to meet state representativeness and response rate</w:t>
      </w:r>
      <w:r>
        <w:rPr>
          <w:rFonts w:ascii="Arial"/>
          <w:spacing w:val="5"/>
          <w:w w:val="105"/>
          <w:sz w:val="21"/>
        </w:rPr>
        <w:t xml:space="preserve"> </w:t>
      </w:r>
      <w:r>
        <w:rPr>
          <w:rFonts w:ascii="Arial"/>
          <w:w w:val="105"/>
          <w:sz w:val="21"/>
        </w:rPr>
        <w:t>objectives.</w:t>
      </w:r>
    </w:p>
    <w:p w:rsidR="001F0BEF" w:rsidRDefault="001F0BEF" w:rsidP="001F0BEF">
      <w:pPr>
        <w:pStyle w:val="BodyText"/>
        <w:spacing w:before="4"/>
        <w:rPr>
          <w:sz w:val="33"/>
        </w:rPr>
      </w:pPr>
    </w:p>
    <w:p w:rsidR="001F0BEF" w:rsidRDefault="001F0BEF" w:rsidP="001F0BEF">
      <w:pPr>
        <w:pStyle w:val="Heading1"/>
        <w:spacing w:before="0"/>
      </w:pPr>
      <w:r>
        <w:rPr>
          <w:w w:val="105"/>
          <w:u w:val="single"/>
        </w:rPr>
        <w:t>Resources Available:</w:t>
      </w:r>
    </w:p>
    <w:p w:rsidR="001F0BEF" w:rsidRDefault="001F0BEF" w:rsidP="001F0BEF">
      <w:pPr>
        <w:pStyle w:val="BodyText"/>
        <w:spacing w:before="133" w:line="252" w:lineRule="auto"/>
        <w:ind w:left="108"/>
      </w:pPr>
      <w:r>
        <w:rPr>
          <w:w w:val="105"/>
        </w:rPr>
        <w:t xml:space="preserve">The forms are provided under the ODE Resources tab on the secure district site and at the Transition Community Network website: </w:t>
      </w:r>
      <w:hyperlink r:id="rId6">
        <w:r>
          <w:rPr>
            <w:rFonts w:ascii="Times New Roman"/>
            <w:color w:val="0000FF"/>
            <w:w w:val="105"/>
            <w:u w:val="single" w:color="0000FF"/>
          </w:rPr>
          <w:t>http://triwou.org/projects/tcn/topicslist/197/pso</w:t>
        </w:r>
        <w:r>
          <w:rPr>
            <w:rFonts w:ascii="Times New Roman"/>
            <w:w w:val="105"/>
          </w:rPr>
          <w:t>.</w:t>
        </w:r>
      </w:hyperlink>
      <w:r>
        <w:rPr>
          <w:rFonts w:ascii="Times New Roman"/>
          <w:w w:val="105"/>
        </w:rPr>
        <w:t xml:space="preserve"> </w:t>
      </w:r>
      <w:r>
        <w:rPr>
          <w:w w:val="105"/>
        </w:rPr>
        <w:t>These include instructions, forms, timelines, and training materials.</w:t>
      </w:r>
    </w:p>
    <w:p w:rsidR="001F0BEF" w:rsidRDefault="001F0BEF" w:rsidP="001F0BEF">
      <w:pPr>
        <w:pStyle w:val="Heading1"/>
        <w:spacing w:before="117"/>
      </w:pPr>
      <w:r>
        <w:rPr>
          <w:w w:val="105"/>
          <w:u w:val="single"/>
        </w:rPr>
        <w:t>Contact Information:</w:t>
      </w:r>
    </w:p>
    <w:p w:rsidR="001F0BEF" w:rsidRDefault="001F0BEF" w:rsidP="001F0BEF">
      <w:pPr>
        <w:pStyle w:val="BodyText"/>
        <w:spacing w:before="3"/>
        <w:rPr>
          <w:b/>
          <w:sz w:val="14"/>
        </w:rPr>
      </w:pPr>
    </w:p>
    <w:p w:rsidR="001F0BEF" w:rsidRDefault="001F0BEF" w:rsidP="001F0BEF">
      <w:pPr>
        <w:pStyle w:val="BodyText"/>
        <w:spacing w:before="99" w:line="252" w:lineRule="auto"/>
        <w:ind w:right="4229"/>
        <w:rPr>
          <w:w w:val="105"/>
        </w:rPr>
      </w:pPr>
      <w:r>
        <w:rPr>
          <w:w w:val="105"/>
        </w:rPr>
        <w:t xml:space="preserve">         Sally </w:t>
      </w:r>
      <w:proofErr w:type="spellStart"/>
      <w:r>
        <w:rPr>
          <w:w w:val="105"/>
        </w:rPr>
        <w:t>Simich</w:t>
      </w:r>
      <w:proofErr w:type="spellEnd"/>
      <w:r>
        <w:rPr>
          <w:w w:val="105"/>
        </w:rPr>
        <w:t xml:space="preserve">, </w:t>
      </w:r>
      <w:hyperlink r:id="rId7" w:history="1">
        <w:r w:rsidRPr="004120C8">
          <w:rPr>
            <w:rStyle w:val="Hyperlink"/>
            <w:w w:val="105"/>
            <w:u w:color="0000FF"/>
          </w:rPr>
          <w:t>sally.simich@ode.state.or.us</w:t>
        </w:r>
      </w:hyperlink>
      <w:r>
        <w:rPr>
          <w:color w:val="0000FF"/>
          <w:w w:val="105"/>
        </w:rPr>
        <w:t xml:space="preserve"> </w:t>
      </w:r>
      <w:r>
        <w:rPr>
          <w:w w:val="105"/>
        </w:rPr>
        <w:t xml:space="preserve">503-947-5639 </w:t>
      </w:r>
    </w:p>
    <w:p w:rsidR="001F0BEF" w:rsidRPr="009C2C3B" w:rsidRDefault="001F0BEF" w:rsidP="001F0BEF">
      <w:pPr>
        <w:pStyle w:val="BodyText"/>
        <w:spacing w:before="99" w:line="252" w:lineRule="auto"/>
        <w:ind w:right="4229"/>
        <w:rPr>
          <w:w w:val="105"/>
          <w:u w:color="0000FF"/>
        </w:rPr>
      </w:pPr>
      <w:r>
        <w:rPr>
          <w:w w:val="105"/>
        </w:rPr>
        <w:t xml:space="preserve">         James </w:t>
      </w:r>
      <w:proofErr w:type="spellStart"/>
      <w:r>
        <w:rPr>
          <w:w w:val="105"/>
        </w:rPr>
        <w:t>Foutch</w:t>
      </w:r>
      <w:proofErr w:type="spellEnd"/>
      <w:r>
        <w:rPr>
          <w:w w:val="105"/>
        </w:rPr>
        <w:t xml:space="preserve">, </w:t>
      </w:r>
      <w:hyperlink r:id="rId8" w:history="1">
        <w:r w:rsidR="009C2C3B" w:rsidRPr="00284AFE">
          <w:rPr>
            <w:rStyle w:val="Hyperlink"/>
            <w:w w:val="105"/>
            <w:u w:color="0000FF"/>
          </w:rPr>
          <w:t>james.foutch@ode.state.or.us</w:t>
        </w:r>
      </w:hyperlink>
      <w:r w:rsidR="009C2C3B">
        <w:rPr>
          <w:w w:val="105"/>
          <w:u w:color="0000FF"/>
        </w:rPr>
        <w:t xml:space="preserve"> </w:t>
      </w:r>
      <w:r>
        <w:rPr>
          <w:w w:val="105"/>
        </w:rPr>
        <w:t>503-947-5776</w:t>
      </w:r>
      <w:bookmarkStart w:id="0" w:name="_GoBack"/>
      <w:bookmarkEnd w:id="0"/>
    </w:p>
    <w:p w:rsidR="000173A4" w:rsidRDefault="000173A4" w:rsidP="001F0BEF"/>
    <w:sectPr w:rsidR="000173A4" w:rsidSect="001F0BEF">
      <w:pgSz w:w="12240" w:h="15840"/>
      <w:pgMar w:top="70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121"/>
    <w:multiLevelType w:val="hybridMultilevel"/>
    <w:tmpl w:val="109EEC84"/>
    <w:lvl w:ilvl="0" w:tplc="490A7A98">
      <w:start w:val="1"/>
      <w:numFmt w:val="upperLetter"/>
      <w:lvlText w:val="(%1)"/>
      <w:lvlJc w:val="left"/>
      <w:pPr>
        <w:ind w:left="1183" w:hanging="355"/>
        <w:jc w:val="left"/>
      </w:pPr>
      <w:rPr>
        <w:rFonts w:ascii="Arial" w:eastAsia="Arial" w:hAnsi="Arial" w:cs="Arial" w:hint="default"/>
        <w:i/>
        <w:spacing w:val="0"/>
        <w:w w:val="102"/>
        <w:sz w:val="21"/>
        <w:szCs w:val="21"/>
      </w:rPr>
    </w:lvl>
    <w:lvl w:ilvl="1" w:tplc="B9906DAA">
      <w:numFmt w:val="bullet"/>
      <w:lvlText w:val="•"/>
      <w:lvlJc w:val="left"/>
      <w:pPr>
        <w:ind w:left="2136" w:hanging="355"/>
      </w:pPr>
      <w:rPr>
        <w:rFonts w:hint="default"/>
      </w:rPr>
    </w:lvl>
    <w:lvl w:ilvl="2" w:tplc="6B2E3AA0">
      <w:numFmt w:val="bullet"/>
      <w:lvlText w:val="•"/>
      <w:lvlJc w:val="left"/>
      <w:pPr>
        <w:ind w:left="3092" w:hanging="355"/>
      </w:pPr>
      <w:rPr>
        <w:rFonts w:hint="default"/>
      </w:rPr>
    </w:lvl>
    <w:lvl w:ilvl="3" w:tplc="7A6A9054">
      <w:numFmt w:val="bullet"/>
      <w:lvlText w:val="•"/>
      <w:lvlJc w:val="left"/>
      <w:pPr>
        <w:ind w:left="4048" w:hanging="355"/>
      </w:pPr>
      <w:rPr>
        <w:rFonts w:hint="default"/>
      </w:rPr>
    </w:lvl>
    <w:lvl w:ilvl="4" w:tplc="6BB67FE6">
      <w:numFmt w:val="bullet"/>
      <w:lvlText w:val="•"/>
      <w:lvlJc w:val="left"/>
      <w:pPr>
        <w:ind w:left="5004" w:hanging="355"/>
      </w:pPr>
      <w:rPr>
        <w:rFonts w:hint="default"/>
      </w:rPr>
    </w:lvl>
    <w:lvl w:ilvl="5" w:tplc="2BA6DD22">
      <w:numFmt w:val="bullet"/>
      <w:lvlText w:val="•"/>
      <w:lvlJc w:val="left"/>
      <w:pPr>
        <w:ind w:left="5960" w:hanging="355"/>
      </w:pPr>
      <w:rPr>
        <w:rFonts w:hint="default"/>
      </w:rPr>
    </w:lvl>
    <w:lvl w:ilvl="6" w:tplc="F1B8ADDC">
      <w:numFmt w:val="bullet"/>
      <w:lvlText w:val="•"/>
      <w:lvlJc w:val="left"/>
      <w:pPr>
        <w:ind w:left="6916" w:hanging="355"/>
      </w:pPr>
      <w:rPr>
        <w:rFonts w:hint="default"/>
      </w:rPr>
    </w:lvl>
    <w:lvl w:ilvl="7" w:tplc="6F601D1A">
      <w:numFmt w:val="bullet"/>
      <w:lvlText w:val="•"/>
      <w:lvlJc w:val="left"/>
      <w:pPr>
        <w:ind w:left="7872" w:hanging="355"/>
      </w:pPr>
      <w:rPr>
        <w:rFonts w:hint="default"/>
      </w:rPr>
    </w:lvl>
    <w:lvl w:ilvl="8" w:tplc="E8B035FC">
      <w:numFmt w:val="bullet"/>
      <w:lvlText w:val="•"/>
      <w:lvlJc w:val="left"/>
      <w:pPr>
        <w:ind w:left="8828" w:hanging="355"/>
      </w:pPr>
      <w:rPr>
        <w:rFonts w:hint="default"/>
      </w:rPr>
    </w:lvl>
  </w:abstractNum>
  <w:abstractNum w:abstractNumId="1">
    <w:nsid w:val="2E582E6B"/>
    <w:multiLevelType w:val="hybridMultilevel"/>
    <w:tmpl w:val="07D61294"/>
    <w:lvl w:ilvl="0" w:tplc="27AA28F2">
      <w:numFmt w:val="bullet"/>
      <w:lvlText w:val="▪"/>
      <w:lvlJc w:val="left"/>
      <w:pPr>
        <w:ind w:left="468" w:hanging="361"/>
      </w:pPr>
      <w:rPr>
        <w:rFonts w:ascii="Trebuchet MS" w:eastAsia="Trebuchet MS" w:hAnsi="Trebuchet MS" w:cs="Trebuchet MS" w:hint="default"/>
        <w:w w:val="132"/>
        <w:sz w:val="21"/>
        <w:szCs w:val="21"/>
      </w:rPr>
    </w:lvl>
    <w:lvl w:ilvl="1" w:tplc="23FE2F44">
      <w:numFmt w:val="bullet"/>
      <w:lvlText w:val="•"/>
      <w:lvlJc w:val="left"/>
      <w:pPr>
        <w:ind w:left="1488" w:hanging="361"/>
      </w:pPr>
      <w:rPr>
        <w:rFonts w:hint="default"/>
      </w:rPr>
    </w:lvl>
    <w:lvl w:ilvl="2" w:tplc="977CD540">
      <w:numFmt w:val="bullet"/>
      <w:lvlText w:val="•"/>
      <w:lvlJc w:val="left"/>
      <w:pPr>
        <w:ind w:left="2516" w:hanging="361"/>
      </w:pPr>
      <w:rPr>
        <w:rFonts w:hint="default"/>
      </w:rPr>
    </w:lvl>
    <w:lvl w:ilvl="3" w:tplc="A130617C">
      <w:numFmt w:val="bullet"/>
      <w:lvlText w:val="•"/>
      <w:lvlJc w:val="left"/>
      <w:pPr>
        <w:ind w:left="3544" w:hanging="361"/>
      </w:pPr>
      <w:rPr>
        <w:rFonts w:hint="default"/>
      </w:rPr>
    </w:lvl>
    <w:lvl w:ilvl="4" w:tplc="602287DC">
      <w:numFmt w:val="bullet"/>
      <w:lvlText w:val="•"/>
      <w:lvlJc w:val="left"/>
      <w:pPr>
        <w:ind w:left="4572" w:hanging="361"/>
      </w:pPr>
      <w:rPr>
        <w:rFonts w:hint="default"/>
      </w:rPr>
    </w:lvl>
    <w:lvl w:ilvl="5" w:tplc="81504F2A">
      <w:numFmt w:val="bullet"/>
      <w:lvlText w:val="•"/>
      <w:lvlJc w:val="left"/>
      <w:pPr>
        <w:ind w:left="5600" w:hanging="361"/>
      </w:pPr>
      <w:rPr>
        <w:rFonts w:hint="default"/>
      </w:rPr>
    </w:lvl>
    <w:lvl w:ilvl="6" w:tplc="7292B3EE">
      <w:numFmt w:val="bullet"/>
      <w:lvlText w:val="•"/>
      <w:lvlJc w:val="left"/>
      <w:pPr>
        <w:ind w:left="6628" w:hanging="361"/>
      </w:pPr>
      <w:rPr>
        <w:rFonts w:hint="default"/>
      </w:rPr>
    </w:lvl>
    <w:lvl w:ilvl="7" w:tplc="50A09AA8">
      <w:numFmt w:val="bullet"/>
      <w:lvlText w:val="•"/>
      <w:lvlJc w:val="left"/>
      <w:pPr>
        <w:ind w:left="7656" w:hanging="361"/>
      </w:pPr>
      <w:rPr>
        <w:rFonts w:hint="default"/>
      </w:rPr>
    </w:lvl>
    <w:lvl w:ilvl="8" w:tplc="ACDAD978">
      <w:numFmt w:val="bullet"/>
      <w:lvlText w:val="•"/>
      <w:lvlJc w:val="left"/>
      <w:pPr>
        <w:ind w:left="8684" w:hanging="361"/>
      </w:pPr>
      <w:rPr>
        <w:rFonts w:hint="default"/>
      </w:rPr>
    </w:lvl>
  </w:abstractNum>
  <w:abstractNum w:abstractNumId="2">
    <w:nsid w:val="4A153927"/>
    <w:multiLevelType w:val="hybridMultilevel"/>
    <w:tmpl w:val="7902B520"/>
    <w:lvl w:ilvl="0" w:tplc="36F8182C">
      <w:numFmt w:val="bullet"/>
      <w:lvlText w:val=""/>
      <w:lvlJc w:val="left"/>
      <w:pPr>
        <w:ind w:left="468" w:hanging="360"/>
      </w:pPr>
      <w:rPr>
        <w:rFonts w:ascii="Symbol" w:eastAsia="Symbol" w:hAnsi="Symbol" w:cs="Symbol" w:hint="default"/>
        <w:w w:val="103"/>
        <w:sz w:val="19"/>
        <w:szCs w:val="19"/>
      </w:rPr>
    </w:lvl>
    <w:lvl w:ilvl="1" w:tplc="D81AE6A8">
      <w:numFmt w:val="bullet"/>
      <w:lvlText w:val="•"/>
      <w:lvlJc w:val="left"/>
      <w:pPr>
        <w:ind w:left="1488" w:hanging="360"/>
      </w:pPr>
      <w:rPr>
        <w:rFonts w:hint="default"/>
      </w:rPr>
    </w:lvl>
    <w:lvl w:ilvl="2" w:tplc="4702777E">
      <w:numFmt w:val="bullet"/>
      <w:lvlText w:val="•"/>
      <w:lvlJc w:val="left"/>
      <w:pPr>
        <w:ind w:left="2516" w:hanging="360"/>
      </w:pPr>
      <w:rPr>
        <w:rFonts w:hint="default"/>
      </w:rPr>
    </w:lvl>
    <w:lvl w:ilvl="3" w:tplc="A24CC792">
      <w:numFmt w:val="bullet"/>
      <w:lvlText w:val="•"/>
      <w:lvlJc w:val="left"/>
      <w:pPr>
        <w:ind w:left="3544" w:hanging="360"/>
      </w:pPr>
      <w:rPr>
        <w:rFonts w:hint="default"/>
      </w:rPr>
    </w:lvl>
    <w:lvl w:ilvl="4" w:tplc="A5E0059A">
      <w:numFmt w:val="bullet"/>
      <w:lvlText w:val="•"/>
      <w:lvlJc w:val="left"/>
      <w:pPr>
        <w:ind w:left="4572" w:hanging="360"/>
      </w:pPr>
      <w:rPr>
        <w:rFonts w:hint="default"/>
      </w:rPr>
    </w:lvl>
    <w:lvl w:ilvl="5" w:tplc="5E0EA1A8">
      <w:numFmt w:val="bullet"/>
      <w:lvlText w:val="•"/>
      <w:lvlJc w:val="left"/>
      <w:pPr>
        <w:ind w:left="5600" w:hanging="360"/>
      </w:pPr>
      <w:rPr>
        <w:rFonts w:hint="default"/>
      </w:rPr>
    </w:lvl>
    <w:lvl w:ilvl="6" w:tplc="234EF000">
      <w:numFmt w:val="bullet"/>
      <w:lvlText w:val="•"/>
      <w:lvlJc w:val="left"/>
      <w:pPr>
        <w:ind w:left="6628" w:hanging="360"/>
      </w:pPr>
      <w:rPr>
        <w:rFonts w:hint="default"/>
      </w:rPr>
    </w:lvl>
    <w:lvl w:ilvl="7" w:tplc="BE265C46">
      <w:numFmt w:val="bullet"/>
      <w:lvlText w:val="•"/>
      <w:lvlJc w:val="left"/>
      <w:pPr>
        <w:ind w:left="7656" w:hanging="360"/>
      </w:pPr>
      <w:rPr>
        <w:rFonts w:hint="default"/>
      </w:rPr>
    </w:lvl>
    <w:lvl w:ilvl="8" w:tplc="3F3AF198">
      <w:numFmt w:val="bullet"/>
      <w:lvlText w:val="•"/>
      <w:lvlJc w:val="left"/>
      <w:pPr>
        <w:ind w:left="868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EF"/>
    <w:rsid w:val="000173A4"/>
    <w:rsid w:val="001F0BEF"/>
    <w:rsid w:val="009C2C3B"/>
    <w:rsid w:val="00C8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0B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F0BEF"/>
    <w:pPr>
      <w:spacing w:before="1"/>
      <w:ind w:left="1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BEF"/>
    <w:rPr>
      <w:rFonts w:ascii="Arial" w:eastAsia="Arial" w:hAnsi="Arial" w:cs="Arial"/>
      <w:b/>
      <w:bCs/>
      <w:sz w:val="21"/>
      <w:szCs w:val="21"/>
    </w:rPr>
  </w:style>
  <w:style w:type="paragraph" w:styleId="BodyText">
    <w:name w:val="Body Text"/>
    <w:basedOn w:val="Normal"/>
    <w:link w:val="BodyTextChar"/>
    <w:uiPriority w:val="1"/>
    <w:qFormat/>
    <w:rsid w:val="001F0BEF"/>
    <w:pPr>
      <w:spacing w:before="9"/>
    </w:pPr>
    <w:rPr>
      <w:sz w:val="21"/>
      <w:szCs w:val="21"/>
    </w:rPr>
  </w:style>
  <w:style w:type="character" w:customStyle="1" w:styleId="BodyTextChar">
    <w:name w:val="Body Text Char"/>
    <w:basedOn w:val="DefaultParagraphFont"/>
    <w:link w:val="BodyText"/>
    <w:uiPriority w:val="1"/>
    <w:rsid w:val="001F0BEF"/>
    <w:rPr>
      <w:rFonts w:ascii="Arial" w:eastAsia="Arial" w:hAnsi="Arial" w:cs="Arial"/>
      <w:sz w:val="21"/>
      <w:szCs w:val="21"/>
    </w:rPr>
  </w:style>
  <w:style w:type="paragraph" w:styleId="ListParagraph">
    <w:name w:val="List Paragraph"/>
    <w:basedOn w:val="Normal"/>
    <w:uiPriority w:val="1"/>
    <w:qFormat/>
    <w:rsid w:val="001F0BEF"/>
    <w:pPr>
      <w:ind w:left="468" w:hanging="360"/>
    </w:pPr>
    <w:rPr>
      <w:rFonts w:ascii="Verdana" w:eastAsia="Verdana" w:hAnsi="Verdana" w:cs="Verdana"/>
    </w:rPr>
  </w:style>
  <w:style w:type="character" w:styleId="Hyperlink">
    <w:name w:val="Hyperlink"/>
    <w:basedOn w:val="DefaultParagraphFont"/>
    <w:uiPriority w:val="99"/>
    <w:unhideWhenUsed/>
    <w:rsid w:val="001F0B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0B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F0BEF"/>
    <w:pPr>
      <w:spacing w:before="1"/>
      <w:ind w:left="1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BEF"/>
    <w:rPr>
      <w:rFonts w:ascii="Arial" w:eastAsia="Arial" w:hAnsi="Arial" w:cs="Arial"/>
      <w:b/>
      <w:bCs/>
      <w:sz w:val="21"/>
      <w:szCs w:val="21"/>
    </w:rPr>
  </w:style>
  <w:style w:type="paragraph" w:styleId="BodyText">
    <w:name w:val="Body Text"/>
    <w:basedOn w:val="Normal"/>
    <w:link w:val="BodyTextChar"/>
    <w:uiPriority w:val="1"/>
    <w:qFormat/>
    <w:rsid w:val="001F0BEF"/>
    <w:pPr>
      <w:spacing w:before="9"/>
    </w:pPr>
    <w:rPr>
      <w:sz w:val="21"/>
      <w:szCs w:val="21"/>
    </w:rPr>
  </w:style>
  <w:style w:type="character" w:customStyle="1" w:styleId="BodyTextChar">
    <w:name w:val="Body Text Char"/>
    <w:basedOn w:val="DefaultParagraphFont"/>
    <w:link w:val="BodyText"/>
    <w:uiPriority w:val="1"/>
    <w:rsid w:val="001F0BEF"/>
    <w:rPr>
      <w:rFonts w:ascii="Arial" w:eastAsia="Arial" w:hAnsi="Arial" w:cs="Arial"/>
      <w:sz w:val="21"/>
      <w:szCs w:val="21"/>
    </w:rPr>
  </w:style>
  <w:style w:type="paragraph" w:styleId="ListParagraph">
    <w:name w:val="List Paragraph"/>
    <w:basedOn w:val="Normal"/>
    <w:uiPriority w:val="1"/>
    <w:qFormat/>
    <w:rsid w:val="001F0BEF"/>
    <w:pPr>
      <w:ind w:left="468" w:hanging="360"/>
    </w:pPr>
    <w:rPr>
      <w:rFonts w:ascii="Verdana" w:eastAsia="Verdana" w:hAnsi="Verdana" w:cs="Verdana"/>
    </w:rPr>
  </w:style>
  <w:style w:type="character" w:styleId="Hyperlink">
    <w:name w:val="Hyperlink"/>
    <w:basedOn w:val="DefaultParagraphFont"/>
    <w:uiPriority w:val="99"/>
    <w:unhideWhenUsed/>
    <w:rsid w:val="001F0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utch@ode.state.or.us" TargetMode="External"/><Relationship Id="rId3" Type="http://schemas.microsoft.com/office/2007/relationships/stylesWithEffects" Target="stylesWithEffects.xml"/><Relationship Id="rId7" Type="http://schemas.openxmlformats.org/officeDocument/2006/relationships/hyperlink" Target="mailto:sally.simich@ode.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wou.org/projects/tcn/topicslist/197/ps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SFF-Home</cp:lastModifiedBy>
  <cp:revision>2</cp:revision>
  <dcterms:created xsi:type="dcterms:W3CDTF">2018-01-19T18:30:00Z</dcterms:created>
  <dcterms:modified xsi:type="dcterms:W3CDTF">2018-01-19T18:30:00Z</dcterms:modified>
</cp:coreProperties>
</file>