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56" w:rsidRDefault="007B7B56" w:rsidP="00484A80">
      <w:pPr>
        <w:spacing w:after="0" w:line="240" w:lineRule="auto"/>
        <w:jc w:val="center"/>
        <w:rPr>
          <w:rFonts w:ascii="Calibri" w:hAnsi="Calibri" w:cs="Calibri"/>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9264" behindDoc="0" locked="0" layoutInCell="1" allowOverlap="1" wp14:anchorId="3B9EA24C" wp14:editId="4FC51CFE">
            <wp:simplePos x="0" y="0"/>
            <wp:positionH relativeFrom="margin">
              <wp:posOffset>1199515</wp:posOffset>
            </wp:positionH>
            <wp:positionV relativeFrom="margin">
              <wp:posOffset>76200</wp:posOffset>
            </wp:positionV>
            <wp:extent cx="3726815" cy="1654175"/>
            <wp:effectExtent l="0" t="0" r="6985" b="3175"/>
            <wp:wrapSquare wrapText="bothSides"/>
            <wp:docPr id="3" name="Picture 3" descr="Oregon Department of Education Oregon achieves ...together" title="Oregon Department of Education 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26815" cy="1654175"/>
                    </a:xfrm>
                    <a:prstGeom prst="rect">
                      <a:avLst/>
                    </a:prstGeom>
                  </pic:spPr>
                </pic:pic>
              </a:graphicData>
            </a:graphic>
            <wp14:sizeRelH relativeFrom="margin">
              <wp14:pctWidth>0</wp14:pctWidth>
            </wp14:sizeRelH>
            <wp14:sizeRelV relativeFrom="margin">
              <wp14:pctHeight>0</wp14:pctHeight>
            </wp14:sizeRelV>
          </wp:anchor>
        </w:drawing>
      </w:r>
    </w:p>
    <w:p w:rsidR="007B7B56" w:rsidRDefault="007B7B56" w:rsidP="00484A80">
      <w:pPr>
        <w:spacing w:after="0" w:line="240" w:lineRule="auto"/>
        <w:jc w:val="center"/>
        <w:rPr>
          <w:rFonts w:ascii="Calibri" w:hAnsi="Calibri" w:cs="Calibri"/>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7B56" w:rsidRDefault="007B7B56" w:rsidP="00484A80">
      <w:pPr>
        <w:spacing w:after="0" w:line="240" w:lineRule="auto"/>
        <w:jc w:val="center"/>
        <w:rPr>
          <w:rFonts w:ascii="Calibri" w:hAnsi="Calibri" w:cs="Calibri"/>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7B56" w:rsidRDefault="007B7B56" w:rsidP="00484A80">
      <w:pPr>
        <w:spacing w:after="0" w:line="240" w:lineRule="auto"/>
        <w:jc w:val="center"/>
        <w:rPr>
          <w:rFonts w:ascii="Calibri" w:hAnsi="Calibri" w:cs="Calibri"/>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7B56" w:rsidRDefault="007B7B56" w:rsidP="00484A80">
      <w:pPr>
        <w:spacing w:after="0" w:line="240" w:lineRule="auto"/>
        <w:jc w:val="center"/>
        <w:rPr>
          <w:rFonts w:ascii="Calibri" w:hAnsi="Calibri" w:cs="Calibri"/>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4A80" w:rsidRPr="007B7B56" w:rsidRDefault="00484A80" w:rsidP="00484A80">
      <w:pPr>
        <w:spacing w:after="0" w:line="240" w:lineRule="auto"/>
        <w:jc w:val="center"/>
        <w:rPr>
          <w:rFonts w:ascii="Calibri" w:hAnsi="Calibri" w:cs="Calibri"/>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B56">
        <w:rPr>
          <w:rFonts w:ascii="Calibri" w:hAnsi="Calibri" w:cs="Calibri"/>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7B7B56">
        <w:rPr>
          <w:rFonts w:ascii="Calibri" w:hAnsi="Calibri" w:cs="Calibri"/>
          <w:b/>
          <w:color w:val="000000" w:themeColor="text1"/>
          <w:sz w:val="52"/>
          <w:szCs w:val="5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7B7B56" w:rsidRPr="007B7B56">
        <w:rPr>
          <w:rFonts w:ascii="Calibri" w:hAnsi="Calibri" w:cs="Calibri"/>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Century Community Learning Centers </w:t>
      </w:r>
    </w:p>
    <w:p w:rsidR="00484A80" w:rsidRPr="00484A80" w:rsidRDefault="00484A80" w:rsidP="00484A80">
      <w:pPr>
        <w:spacing w:after="0" w:line="240" w:lineRule="auto"/>
        <w:jc w:val="center"/>
        <w:rPr>
          <w:rFonts w:ascii="Calibri" w:hAnsi="Calibri" w:cs="Calibri"/>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 of Grant Toolkit</w:t>
      </w:r>
    </w:p>
    <w:p w:rsidR="00484A80" w:rsidRDefault="007B7B56" w:rsidP="00484A80">
      <w:pPr>
        <w:spacing w:after="0" w:line="240" w:lineRule="auto"/>
        <w:jc w:val="center"/>
        <w:rPr>
          <w:rFonts w:ascii="Calibri" w:hAnsi="Calibri" w:cs="Calibri"/>
          <w:b/>
          <w:sz w:val="56"/>
          <w:szCs w:val="56"/>
          <w14:textOutline w14:w="9525" w14:cap="rnd" w14:cmpd="sng" w14:algn="ctr">
            <w14:solidFill>
              <w14:srgbClr w14:val="0070C0"/>
            </w14:solidFill>
            <w14:prstDash w14:val="solid"/>
            <w14:bevel/>
          </w14:textOutline>
        </w:rPr>
      </w:pPr>
      <w:r>
        <w:rPr>
          <w:rFonts w:ascii="Calibri" w:hAnsi="Calibri" w:cs="Calibri"/>
          <w:b/>
          <w:sz w:val="56"/>
          <w:szCs w:val="56"/>
          <w14:textOutline w14:w="9525" w14:cap="rnd" w14:cmpd="sng" w14:algn="ctr">
            <w14:solidFill>
              <w14:srgbClr w14:val="0070C0"/>
            </w14:solidFill>
            <w14:prstDash w14:val="solid"/>
            <w14:bevel/>
          </w14:textOutline>
        </w:rPr>
        <w:t>2018</w:t>
      </w:r>
    </w:p>
    <w:p w:rsidR="00484A80" w:rsidRDefault="00484A80" w:rsidP="00484A80">
      <w:pPr>
        <w:spacing w:after="0" w:line="240" w:lineRule="auto"/>
        <w:jc w:val="center"/>
        <w:rPr>
          <w:rFonts w:ascii="Calibri" w:hAnsi="Calibri" w:cs="Calibri"/>
          <w:b/>
          <w:sz w:val="56"/>
          <w:szCs w:val="56"/>
          <w14:textOutline w14:w="9525" w14:cap="rnd" w14:cmpd="sng" w14:algn="ctr">
            <w14:solidFill>
              <w14:srgbClr w14:val="0070C0"/>
            </w14:solidFill>
            <w14:prstDash w14:val="solid"/>
            <w14:bevel/>
          </w14:textOutline>
        </w:rPr>
      </w:pPr>
    </w:p>
    <w:p w:rsidR="00484A80" w:rsidRDefault="00484A80" w:rsidP="00484A80">
      <w:pPr>
        <w:spacing w:after="0" w:line="240" w:lineRule="auto"/>
        <w:jc w:val="center"/>
        <w:rPr>
          <w:rFonts w:ascii="Calibri" w:hAnsi="Calibri" w:cs="Calibri"/>
          <w:b/>
          <w:sz w:val="56"/>
          <w:szCs w:val="56"/>
          <w14:textOutline w14:w="9525" w14:cap="rnd" w14:cmpd="sng" w14:algn="ctr">
            <w14:solidFill>
              <w14:srgbClr w14:val="0070C0"/>
            </w14:solidFill>
            <w14:prstDash w14:val="solid"/>
            <w14:bevel/>
          </w14:textOutline>
        </w:rPr>
      </w:pPr>
    </w:p>
    <w:p w:rsidR="00484A80" w:rsidRDefault="00484A80" w:rsidP="00484A80">
      <w:pPr>
        <w:spacing w:after="0" w:line="240" w:lineRule="auto"/>
        <w:jc w:val="center"/>
        <w:rPr>
          <w:rFonts w:ascii="Calibri" w:hAnsi="Calibri" w:cs="Calibri"/>
          <w:b/>
          <w:sz w:val="56"/>
          <w:szCs w:val="56"/>
          <w14:textOutline w14:w="9525" w14:cap="rnd" w14:cmpd="sng" w14:algn="ctr">
            <w14:solidFill>
              <w14:srgbClr w14:val="0070C0"/>
            </w14:solidFill>
            <w14:prstDash w14:val="solid"/>
            <w14:bevel/>
          </w14:textOutline>
        </w:rPr>
      </w:pPr>
      <w:r>
        <w:rPr>
          <w:rFonts w:ascii="Calibri" w:hAnsi="Calibri" w:cs="Calibri"/>
          <w:b/>
          <w:noProof/>
          <w:sz w:val="56"/>
          <w:szCs w:val="56"/>
        </w:rPr>
        <w:drawing>
          <wp:inline distT="0" distB="0" distL="0" distR="0" wp14:anchorId="0113007F" wp14:editId="5106B1CC">
            <wp:extent cx="17716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st CCLC 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p w:rsidR="00484A80" w:rsidRDefault="00484A80" w:rsidP="00484A80">
      <w:pPr>
        <w:spacing w:after="0" w:line="240" w:lineRule="auto"/>
        <w:jc w:val="center"/>
        <w:rPr>
          <w:rFonts w:ascii="Calibri" w:hAnsi="Calibri" w:cs="Calibri"/>
          <w:b/>
          <w:sz w:val="56"/>
          <w:szCs w:val="56"/>
          <w14:textOutline w14:w="9525" w14:cap="rnd" w14:cmpd="sng" w14:algn="ctr">
            <w14:solidFill>
              <w14:srgbClr w14:val="0070C0"/>
            </w14:solidFill>
            <w14:prstDash w14:val="solid"/>
            <w14:bevel/>
          </w14:textOutline>
        </w:rPr>
      </w:pPr>
    </w:p>
    <w:p w:rsidR="00484A80" w:rsidRDefault="00484A80" w:rsidP="00484A80">
      <w:pPr>
        <w:spacing w:after="0" w:line="240" w:lineRule="auto"/>
        <w:jc w:val="center"/>
        <w:rPr>
          <w:rFonts w:ascii="Calibri" w:hAnsi="Calibri" w:cs="Calibri"/>
          <w:b/>
          <w:sz w:val="56"/>
          <w:szCs w:val="56"/>
          <w14:textOutline w14:w="9525" w14:cap="rnd" w14:cmpd="sng" w14:algn="ctr">
            <w14:solidFill>
              <w14:srgbClr w14:val="0070C0"/>
            </w14:solidFill>
            <w14:prstDash w14:val="solid"/>
            <w14:bevel/>
          </w14:textOutline>
        </w:rPr>
      </w:pPr>
    </w:p>
    <w:p w:rsidR="00025135" w:rsidRDefault="00025135" w:rsidP="00484A80">
      <w:pPr>
        <w:spacing w:after="0" w:line="240" w:lineRule="auto"/>
        <w:jc w:val="center"/>
        <w:rPr>
          <w:rFonts w:ascii="Calibri" w:hAnsi="Calibri" w:cs="Calibri"/>
          <w:b/>
          <w:sz w:val="56"/>
          <w:szCs w:val="56"/>
          <w14:textOutline w14:w="9525" w14:cap="rnd" w14:cmpd="sng" w14:algn="ctr">
            <w14:solidFill>
              <w14:srgbClr w14:val="0070C0"/>
            </w14:solidFill>
            <w14:prstDash w14:val="solid"/>
            <w14:bevel/>
          </w14:textOutline>
        </w:rPr>
        <w:sectPr w:rsidR="00025135" w:rsidSect="00D27E9E">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440" w:header="720" w:footer="720" w:gutter="0"/>
          <w:cols w:space="720"/>
          <w:docGrid w:linePitch="360"/>
        </w:sectPr>
      </w:pPr>
    </w:p>
    <w:p w:rsidR="00484A80" w:rsidRPr="002D4E18" w:rsidRDefault="00484A80" w:rsidP="00484A80">
      <w:pPr>
        <w:spacing w:after="0" w:line="240" w:lineRule="auto"/>
        <w:jc w:val="center"/>
        <w:rPr>
          <w:noProof/>
        </w:rPr>
      </w:pPr>
      <w:r>
        <w:rPr>
          <w:rFonts w:ascii="Calibri" w:hAnsi="Calibri" w:cs="Calibri"/>
          <w:b/>
          <w:sz w:val="32"/>
          <w:szCs w:val="32"/>
        </w:rPr>
        <w:lastRenderedPageBreak/>
        <w:t>End of Grant Toolkit</w:t>
      </w:r>
    </w:p>
    <w:p w:rsidR="00484A80" w:rsidRDefault="00484A80" w:rsidP="00484A80">
      <w:pPr>
        <w:spacing w:after="0" w:line="240" w:lineRule="auto"/>
        <w:jc w:val="center"/>
        <w:rPr>
          <w:rFonts w:ascii="Calibri" w:hAnsi="Calibri" w:cs="Calibri"/>
          <w:b/>
          <w:sz w:val="32"/>
          <w:szCs w:val="32"/>
        </w:rPr>
      </w:pPr>
      <w:r>
        <w:rPr>
          <w:rFonts w:ascii="Calibri" w:hAnsi="Calibri" w:cs="Calibri"/>
          <w:b/>
          <w:sz w:val="32"/>
          <w:szCs w:val="32"/>
        </w:rPr>
        <w:t>Table of Contents</w:t>
      </w:r>
    </w:p>
    <w:p w:rsidR="00484A80" w:rsidRDefault="00484A80" w:rsidP="00484A80">
      <w:pPr>
        <w:spacing w:after="0" w:line="240" w:lineRule="auto"/>
        <w:jc w:val="center"/>
        <w:rPr>
          <w:rFonts w:ascii="Calibri" w:hAnsi="Calibri" w:cs="Calibri"/>
          <w:b/>
          <w:sz w:val="32"/>
          <w:szCs w:val="32"/>
        </w:rPr>
      </w:pPr>
    </w:p>
    <w:p w:rsidR="00484A80" w:rsidRDefault="00484A80" w:rsidP="00484A80">
      <w:pPr>
        <w:rPr>
          <w:rFonts w:ascii="Calibri" w:hAnsi="Calibri" w:cs="Calibri"/>
          <w:sz w:val="24"/>
          <w:szCs w:val="24"/>
        </w:rPr>
      </w:pPr>
      <w:r>
        <w:rPr>
          <w:rFonts w:ascii="Calibri" w:hAnsi="Calibri" w:cs="Calibri"/>
          <w:sz w:val="24"/>
          <w:szCs w:val="24"/>
        </w:rPr>
        <w:t>Each 21</w:t>
      </w:r>
      <w:r w:rsidRPr="009C46D9">
        <w:rPr>
          <w:rFonts w:ascii="Calibri" w:hAnsi="Calibri" w:cs="Calibri"/>
          <w:sz w:val="24"/>
          <w:szCs w:val="24"/>
          <w:vertAlign w:val="superscript"/>
        </w:rPr>
        <w:t>st</w:t>
      </w:r>
      <w:r>
        <w:rPr>
          <w:rFonts w:ascii="Calibri" w:hAnsi="Calibri" w:cs="Calibri"/>
          <w:sz w:val="24"/>
          <w:szCs w:val="24"/>
        </w:rPr>
        <w:t xml:space="preserve"> CCLC g</w:t>
      </w:r>
      <w:r w:rsidRPr="00D84FF4">
        <w:rPr>
          <w:rFonts w:ascii="Calibri" w:hAnsi="Calibri" w:cs="Calibri"/>
          <w:sz w:val="24"/>
          <w:szCs w:val="24"/>
        </w:rPr>
        <w:t xml:space="preserve">rantee </w:t>
      </w:r>
      <w:r>
        <w:rPr>
          <w:rFonts w:ascii="Calibri" w:hAnsi="Calibri" w:cs="Calibri"/>
          <w:sz w:val="24"/>
          <w:szCs w:val="24"/>
        </w:rPr>
        <w:t>is responsible for a variety of tasks and reports as you end the grant cycle. This toolkit provides both a timeline for when the activities and/or reports are due and descriptions of what is required.</w:t>
      </w:r>
    </w:p>
    <w:p w:rsidR="004A1E0C" w:rsidRDefault="00A80EF4">
      <w:pPr>
        <w:pStyle w:val="TOC1"/>
        <w:tabs>
          <w:tab w:val="right" w:leader="dot" w:pos="9494"/>
        </w:tabs>
        <w:rPr>
          <w:rFonts w:eastAsiaTheme="minorEastAsia"/>
          <w:noProof/>
        </w:rPr>
      </w:pPr>
      <w:r>
        <w:rPr>
          <w:rFonts w:ascii="Calibri" w:hAnsi="Calibri" w:cs="Calibri"/>
          <w:sz w:val="24"/>
          <w:szCs w:val="24"/>
        </w:rPr>
        <w:fldChar w:fldCharType="begin"/>
      </w:r>
      <w:r>
        <w:rPr>
          <w:rFonts w:ascii="Calibri" w:hAnsi="Calibri" w:cs="Calibri"/>
          <w:sz w:val="24"/>
          <w:szCs w:val="24"/>
        </w:rPr>
        <w:instrText xml:space="preserve"> TOC \o "1-1" \h \z \u </w:instrText>
      </w:r>
      <w:r>
        <w:rPr>
          <w:rFonts w:ascii="Calibri" w:hAnsi="Calibri" w:cs="Calibri"/>
          <w:sz w:val="24"/>
          <w:szCs w:val="24"/>
        </w:rPr>
        <w:fldChar w:fldCharType="separate"/>
      </w:r>
      <w:hyperlink w:anchor="_Toc514763944" w:history="1">
        <w:r w:rsidR="004A1E0C" w:rsidRPr="00A35A05">
          <w:rPr>
            <w:rStyle w:val="Hyperlink"/>
            <w:rFonts w:cstheme="minorHAnsi"/>
            <w:noProof/>
          </w:rPr>
          <w:t>End-of-Year Reporting</w:t>
        </w:r>
        <w:r w:rsidR="004A1E0C">
          <w:rPr>
            <w:noProof/>
            <w:webHidden/>
          </w:rPr>
          <w:tab/>
        </w:r>
        <w:r w:rsidR="004A1E0C">
          <w:rPr>
            <w:noProof/>
            <w:webHidden/>
          </w:rPr>
          <w:fldChar w:fldCharType="begin"/>
        </w:r>
        <w:r w:rsidR="004A1E0C">
          <w:rPr>
            <w:noProof/>
            <w:webHidden/>
          </w:rPr>
          <w:instrText xml:space="preserve"> PAGEREF _Toc514763944 \h </w:instrText>
        </w:r>
        <w:r w:rsidR="004A1E0C">
          <w:rPr>
            <w:noProof/>
            <w:webHidden/>
          </w:rPr>
        </w:r>
        <w:r w:rsidR="004A1E0C">
          <w:rPr>
            <w:noProof/>
            <w:webHidden/>
          </w:rPr>
          <w:fldChar w:fldCharType="separate"/>
        </w:r>
        <w:r w:rsidR="004A1E0C">
          <w:rPr>
            <w:noProof/>
            <w:webHidden/>
          </w:rPr>
          <w:t>2</w:t>
        </w:r>
        <w:r w:rsidR="004A1E0C">
          <w:rPr>
            <w:noProof/>
            <w:webHidden/>
          </w:rPr>
          <w:fldChar w:fldCharType="end"/>
        </w:r>
      </w:hyperlink>
    </w:p>
    <w:p w:rsidR="004A1E0C" w:rsidRDefault="0039216F">
      <w:pPr>
        <w:pStyle w:val="TOC1"/>
        <w:tabs>
          <w:tab w:val="right" w:leader="dot" w:pos="9494"/>
        </w:tabs>
        <w:rPr>
          <w:rFonts w:eastAsiaTheme="minorEastAsia"/>
          <w:noProof/>
        </w:rPr>
      </w:pPr>
      <w:hyperlink w:anchor="_Toc514763945" w:history="1">
        <w:r w:rsidR="004A1E0C" w:rsidRPr="00A35A05">
          <w:rPr>
            <w:rStyle w:val="Hyperlink"/>
            <w:noProof/>
          </w:rPr>
          <w:t>Transferring APR data from EZ Reports</w:t>
        </w:r>
        <w:r w:rsidR="004A1E0C">
          <w:rPr>
            <w:noProof/>
            <w:webHidden/>
          </w:rPr>
          <w:tab/>
        </w:r>
        <w:r w:rsidR="004A1E0C">
          <w:rPr>
            <w:noProof/>
            <w:webHidden/>
          </w:rPr>
          <w:fldChar w:fldCharType="begin"/>
        </w:r>
        <w:r w:rsidR="004A1E0C">
          <w:rPr>
            <w:noProof/>
            <w:webHidden/>
          </w:rPr>
          <w:instrText xml:space="preserve"> PAGEREF _Toc514763945 \h </w:instrText>
        </w:r>
        <w:r w:rsidR="004A1E0C">
          <w:rPr>
            <w:noProof/>
            <w:webHidden/>
          </w:rPr>
        </w:r>
        <w:r w:rsidR="004A1E0C">
          <w:rPr>
            <w:noProof/>
            <w:webHidden/>
          </w:rPr>
          <w:fldChar w:fldCharType="separate"/>
        </w:r>
        <w:r w:rsidR="004A1E0C">
          <w:rPr>
            <w:noProof/>
            <w:webHidden/>
          </w:rPr>
          <w:t>5</w:t>
        </w:r>
        <w:r w:rsidR="004A1E0C">
          <w:rPr>
            <w:noProof/>
            <w:webHidden/>
          </w:rPr>
          <w:fldChar w:fldCharType="end"/>
        </w:r>
      </w:hyperlink>
    </w:p>
    <w:p w:rsidR="004A1E0C" w:rsidRDefault="0039216F">
      <w:pPr>
        <w:pStyle w:val="TOC1"/>
        <w:tabs>
          <w:tab w:val="right" w:leader="dot" w:pos="9494"/>
        </w:tabs>
        <w:rPr>
          <w:rFonts w:eastAsiaTheme="minorEastAsia"/>
          <w:noProof/>
        </w:rPr>
      </w:pPr>
      <w:hyperlink w:anchor="_Toc514763946" w:history="1">
        <w:r w:rsidR="004A1E0C" w:rsidRPr="00A35A05">
          <w:rPr>
            <w:rStyle w:val="Hyperlink"/>
            <w:rFonts w:cstheme="minorHAnsi"/>
            <w:noProof/>
          </w:rPr>
          <w:t>Records Retention</w:t>
        </w:r>
        <w:r w:rsidR="004A1E0C">
          <w:rPr>
            <w:noProof/>
            <w:webHidden/>
          </w:rPr>
          <w:tab/>
        </w:r>
        <w:r w:rsidR="004A1E0C">
          <w:rPr>
            <w:noProof/>
            <w:webHidden/>
          </w:rPr>
          <w:fldChar w:fldCharType="begin"/>
        </w:r>
        <w:r w:rsidR="004A1E0C">
          <w:rPr>
            <w:noProof/>
            <w:webHidden/>
          </w:rPr>
          <w:instrText xml:space="preserve"> PAGEREF _Toc514763946 \h </w:instrText>
        </w:r>
        <w:r w:rsidR="004A1E0C">
          <w:rPr>
            <w:noProof/>
            <w:webHidden/>
          </w:rPr>
        </w:r>
        <w:r w:rsidR="004A1E0C">
          <w:rPr>
            <w:noProof/>
            <w:webHidden/>
          </w:rPr>
          <w:fldChar w:fldCharType="separate"/>
        </w:r>
        <w:r w:rsidR="004A1E0C">
          <w:rPr>
            <w:noProof/>
            <w:webHidden/>
          </w:rPr>
          <w:t>6</w:t>
        </w:r>
        <w:r w:rsidR="004A1E0C">
          <w:rPr>
            <w:noProof/>
            <w:webHidden/>
          </w:rPr>
          <w:fldChar w:fldCharType="end"/>
        </w:r>
      </w:hyperlink>
    </w:p>
    <w:p w:rsidR="004A1E0C" w:rsidRDefault="0039216F">
      <w:pPr>
        <w:pStyle w:val="TOC1"/>
        <w:tabs>
          <w:tab w:val="right" w:leader="dot" w:pos="9494"/>
        </w:tabs>
        <w:rPr>
          <w:rFonts w:eastAsiaTheme="minorEastAsia"/>
          <w:noProof/>
        </w:rPr>
      </w:pPr>
      <w:hyperlink w:anchor="_Toc514763947" w:history="1">
        <w:r w:rsidR="004A1E0C" w:rsidRPr="00A35A05">
          <w:rPr>
            <w:rStyle w:val="Hyperlink"/>
            <w:rFonts w:cstheme="minorHAnsi"/>
            <w:noProof/>
          </w:rPr>
          <w:t>Equipment</w:t>
        </w:r>
        <w:r w:rsidR="004A1E0C">
          <w:rPr>
            <w:noProof/>
            <w:webHidden/>
          </w:rPr>
          <w:tab/>
        </w:r>
        <w:r w:rsidR="004A1E0C">
          <w:rPr>
            <w:noProof/>
            <w:webHidden/>
          </w:rPr>
          <w:fldChar w:fldCharType="begin"/>
        </w:r>
        <w:r w:rsidR="004A1E0C">
          <w:rPr>
            <w:noProof/>
            <w:webHidden/>
          </w:rPr>
          <w:instrText xml:space="preserve"> PAGEREF _Toc514763947 \h </w:instrText>
        </w:r>
        <w:r w:rsidR="004A1E0C">
          <w:rPr>
            <w:noProof/>
            <w:webHidden/>
          </w:rPr>
        </w:r>
        <w:r w:rsidR="004A1E0C">
          <w:rPr>
            <w:noProof/>
            <w:webHidden/>
          </w:rPr>
          <w:fldChar w:fldCharType="separate"/>
        </w:r>
        <w:r w:rsidR="004A1E0C">
          <w:rPr>
            <w:noProof/>
            <w:webHidden/>
          </w:rPr>
          <w:t>7</w:t>
        </w:r>
        <w:r w:rsidR="004A1E0C">
          <w:rPr>
            <w:noProof/>
            <w:webHidden/>
          </w:rPr>
          <w:fldChar w:fldCharType="end"/>
        </w:r>
      </w:hyperlink>
    </w:p>
    <w:p w:rsidR="004A1E0C" w:rsidRDefault="0039216F">
      <w:pPr>
        <w:pStyle w:val="TOC1"/>
        <w:tabs>
          <w:tab w:val="right" w:leader="dot" w:pos="9494"/>
        </w:tabs>
        <w:rPr>
          <w:rFonts w:eastAsiaTheme="minorEastAsia"/>
          <w:noProof/>
        </w:rPr>
      </w:pPr>
      <w:hyperlink w:anchor="_Toc514763948" w:history="1">
        <w:r w:rsidR="004A1E0C" w:rsidRPr="00A35A05">
          <w:rPr>
            <w:rStyle w:val="Hyperlink"/>
            <w:rFonts w:cstheme="minorHAnsi"/>
            <w:noProof/>
          </w:rPr>
          <w:t>Supplies</w:t>
        </w:r>
        <w:r w:rsidR="004A1E0C">
          <w:rPr>
            <w:noProof/>
            <w:webHidden/>
          </w:rPr>
          <w:tab/>
        </w:r>
        <w:r w:rsidR="004A1E0C">
          <w:rPr>
            <w:noProof/>
            <w:webHidden/>
          </w:rPr>
          <w:fldChar w:fldCharType="begin"/>
        </w:r>
        <w:r w:rsidR="004A1E0C">
          <w:rPr>
            <w:noProof/>
            <w:webHidden/>
          </w:rPr>
          <w:instrText xml:space="preserve"> PAGEREF _Toc514763948 \h </w:instrText>
        </w:r>
        <w:r w:rsidR="004A1E0C">
          <w:rPr>
            <w:noProof/>
            <w:webHidden/>
          </w:rPr>
        </w:r>
        <w:r w:rsidR="004A1E0C">
          <w:rPr>
            <w:noProof/>
            <w:webHidden/>
          </w:rPr>
          <w:fldChar w:fldCharType="separate"/>
        </w:r>
        <w:r w:rsidR="004A1E0C">
          <w:rPr>
            <w:noProof/>
            <w:webHidden/>
          </w:rPr>
          <w:t>8</w:t>
        </w:r>
        <w:r w:rsidR="004A1E0C">
          <w:rPr>
            <w:noProof/>
            <w:webHidden/>
          </w:rPr>
          <w:fldChar w:fldCharType="end"/>
        </w:r>
      </w:hyperlink>
    </w:p>
    <w:p w:rsidR="004A1E0C" w:rsidRDefault="0039216F">
      <w:pPr>
        <w:pStyle w:val="TOC1"/>
        <w:tabs>
          <w:tab w:val="right" w:leader="dot" w:pos="9494"/>
        </w:tabs>
        <w:rPr>
          <w:rFonts w:eastAsiaTheme="minorEastAsia"/>
          <w:noProof/>
        </w:rPr>
      </w:pPr>
      <w:hyperlink w:anchor="_Toc514763949" w:history="1">
        <w:r w:rsidR="004A1E0C" w:rsidRPr="00A35A05">
          <w:rPr>
            <w:rStyle w:val="Hyperlink"/>
            <w:rFonts w:cstheme="minorHAnsi"/>
            <w:noProof/>
          </w:rPr>
          <w:t>Post-Closeout Adjustments and Continuing Responsibilities</w:t>
        </w:r>
        <w:r w:rsidR="004A1E0C">
          <w:rPr>
            <w:noProof/>
            <w:webHidden/>
          </w:rPr>
          <w:tab/>
        </w:r>
        <w:r w:rsidR="004A1E0C">
          <w:rPr>
            <w:noProof/>
            <w:webHidden/>
          </w:rPr>
          <w:fldChar w:fldCharType="begin"/>
        </w:r>
        <w:r w:rsidR="004A1E0C">
          <w:rPr>
            <w:noProof/>
            <w:webHidden/>
          </w:rPr>
          <w:instrText xml:space="preserve"> PAGEREF _Toc514763949 \h </w:instrText>
        </w:r>
        <w:r w:rsidR="004A1E0C">
          <w:rPr>
            <w:noProof/>
            <w:webHidden/>
          </w:rPr>
        </w:r>
        <w:r w:rsidR="004A1E0C">
          <w:rPr>
            <w:noProof/>
            <w:webHidden/>
          </w:rPr>
          <w:fldChar w:fldCharType="separate"/>
        </w:r>
        <w:r w:rsidR="004A1E0C">
          <w:rPr>
            <w:noProof/>
            <w:webHidden/>
          </w:rPr>
          <w:t>8</w:t>
        </w:r>
        <w:r w:rsidR="004A1E0C">
          <w:rPr>
            <w:noProof/>
            <w:webHidden/>
          </w:rPr>
          <w:fldChar w:fldCharType="end"/>
        </w:r>
      </w:hyperlink>
    </w:p>
    <w:p w:rsidR="004A1E0C" w:rsidRDefault="0039216F">
      <w:pPr>
        <w:pStyle w:val="TOC1"/>
        <w:tabs>
          <w:tab w:val="right" w:leader="dot" w:pos="9494"/>
        </w:tabs>
        <w:rPr>
          <w:rFonts w:eastAsiaTheme="minorEastAsia"/>
          <w:noProof/>
        </w:rPr>
      </w:pPr>
      <w:hyperlink w:anchor="_Toc514763950" w:history="1">
        <w:r w:rsidR="004A1E0C" w:rsidRPr="00A35A05">
          <w:rPr>
            <w:rStyle w:val="Hyperlink"/>
            <w:rFonts w:cstheme="minorHAnsi"/>
            <w:noProof/>
          </w:rPr>
          <w:t>Final Closeout</w:t>
        </w:r>
        <w:r w:rsidR="004A1E0C">
          <w:rPr>
            <w:noProof/>
            <w:webHidden/>
          </w:rPr>
          <w:tab/>
        </w:r>
        <w:r w:rsidR="004A1E0C">
          <w:rPr>
            <w:noProof/>
            <w:webHidden/>
          </w:rPr>
          <w:fldChar w:fldCharType="begin"/>
        </w:r>
        <w:r w:rsidR="004A1E0C">
          <w:rPr>
            <w:noProof/>
            <w:webHidden/>
          </w:rPr>
          <w:instrText xml:space="preserve"> PAGEREF _Toc514763950 \h </w:instrText>
        </w:r>
        <w:r w:rsidR="004A1E0C">
          <w:rPr>
            <w:noProof/>
            <w:webHidden/>
          </w:rPr>
        </w:r>
        <w:r w:rsidR="004A1E0C">
          <w:rPr>
            <w:noProof/>
            <w:webHidden/>
          </w:rPr>
          <w:fldChar w:fldCharType="separate"/>
        </w:r>
        <w:r w:rsidR="004A1E0C">
          <w:rPr>
            <w:noProof/>
            <w:webHidden/>
          </w:rPr>
          <w:t>8</w:t>
        </w:r>
        <w:r w:rsidR="004A1E0C">
          <w:rPr>
            <w:noProof/>
            <w:webHidden/>
          </w:rPr>
          <w:fldChar w:fldCharType="end"/>
        </w:r>
      </w:hyperlink>
    </w:p>
    <w:p w:rsidR="004A1E0C" w:rsidRDefault="0039216F">
      <w:pPr>
        <w:pStyle w:val="TOC1"/>
        <w:tabs>
          <w:tab w:val="right" w:leader="dot" w:pos="9494"/>
        </w:tabs>
        <w:rPr>
          <w:rFonts w:eastAsiaTheme="minorEastAsia"/>
          <w:noProof/>
        </w:rPr>
      </w:pPr>
      <w:hyperlink w:anchor="_Toc514763951" w:history="1">
        <w:r w:rsidR="004A1E0C" w:rsidRPr="00A35A05">
          <w:rPr>
            <w:rStyle w:val="Hyperlink"/>
            <w:rFonts w:cstheme="minorHAnsi"/>
            <w:noProof/>
          </w:rPr>
          <w:t>Grant Closeout Checklist</w:t>
        </w:r>
        <w:r w:rsidR="004A1E0C">
          <w:rPr>
            <w:noProof/>
            <w:webHidden/>
          </w:rPr>
          <w:tab/>
        </w:r>
        <w:r w:rsidR="004A1E0C">
          <w:rPr>
            <w:noProof/>
            <w:webHidden/>
          </w:rPr>
          <w:fldChar w:fldCharType="begin"/>
        </w:r>
        <w:r w:rsidR="004A1E0C">
          <w:rPr>
            <w:noProof/>
            <w:webHidden/>
          </w:rPr>
          <w:instrText xml:space="preserve"> PAGEREF _Toc514763951 \h </w:instrText>
        </w:r>
        <w:r w:rsidR="004A1E0C">
          <w:rPr>
            <w:noProof/>
            <w:webHidden/>
          </w:rPr>
        </w:r>
        <w:r w:rsidR="004A1E0C">
          <w:rPr>
            <w:noProof/>
            <w:webHidden/>
          </w:rPr>
          <w:fldChar w:fldCharType="separate"/>
        </w:r>
        <w:r w:rsidR="004A1E0C">
          <w:rPr>
            <w:noProof/>
            <w:webHidden/>
          </w:rPr>
          <w:t>9</w:t>
        </w:r>
        <w:r w:rsidR="004A1E0C">
          <w:rPr>
            <w:noProof/>
            <w:webHidden/>
          </w:rPr>
          <w:fldChar w:fldCharType="end"/>
        </w:r>
      </w:hyperlink>
    </w:p>
    <w:p w:rsidR="00484A80" w:rsidRPr="009F4872" w:rsidRDefault="00A80EF4" w:rsidP="0073085C">
      <w:pPr>
        <w:rPr>
          <w:rFonts w:cstheme="minorHAnsi"/>
          <w:sz w:val="24"/>
          <w:szCs w:val="24"/>
        </w:rPr>
      </w:pPr>
      <w:r>
        <w:rPr>
          <w:rFonts w:ascii="Calibri" w:hAnsi="Calibri" w:cs="Calibri"/>
          <w:sz w:val="24"/>
          <w:szCs w:val="24"/>
        </w:rPr>
        <w:fldChar w:fldCharType="end"/>
      </w:r>
    </w:p>
    <w:p w:rsidR="006473B1" w:rsidRDefault="006473B1">
      <w:pPr>
        <w:rPr>
          <w:rFonts w:cstheme="minorHAnsi"/>
          <w:sz w:val="24"/>
          <w:szCs w:val="24"/>
        </w:rPr>
      </w:pPr>
      <w:r>
        <w:rPr>
          <w:rFonts w:cstheme="minorHAnsi"/>
          <w:sz w:val="24"/>
          <w:szCs w:val="24"/>
        </w:rPr>
        <w:br w:type="page"/>
      </w:r>
    </w:p>
    <w:p w:rsidR="00122D96" w:rsidRPr="007C47E7" w:rsidRDefault="00122D96" w:rsidP="00077314">
      <w:pPr>
        <w:shd w:val="clear" w:color="auto" w:fill="FFFFFF"/>
        <w:spacing w:before="120" w:after="100" w:line="240" w:lineRule="auto"/>
        <w:outlineLvl w:val="1"/>
        <w:rPr>
          <w:rFonts w:cstheme="minorHAnsi"/>
          <w:sz w:val="24"/>
          <w:szCs w:val="24"/>
        </w:rPr>
      </w:pPr>
      <w:r w:rsidRPr="007C47E7">
        <w:rPr>
          <w:rFonts w:cstheme="minorHAnsi"/>
          <w:sz w:val="24"/>
          <w:szCs w:val="24"/>
        </w:rPr>
        <w:lastRenderedPageBreak/>
        <w:t>The Oregon Department of Education</w:t>
      </w:r>
      <w:r w:rsidR="0054682F" w:rsidRPr="007C47E7">
        <w:rPr>
          <w:rFonts w:cstheme="minorHAnsi"/>
          <w:sz w:val="24"/>
          <w:szCs w:val="24"/>
        </w:rPr>
        <w:t xml:space="preserve"> (ODE)</w:t>
      </w:r>
      <w:r w:rsidRPr="007C47E7">
        <w:rPr>
          <w:rFonts w:cstheme="minorHAnsi"/>
          <w:sz w:val="24"/>
          <w:szCs w:val="24"/>
        </w:rPr>
        <w:t xml:space="preserve"> 21</w:t>
      </w:r>
      <w:r w:rsidRPr="007C47E7">
        <w:rPr>
          <w:rFonts w:cstheme="minorHAnsi"/>
          <w:sz w:val="24"/>
          <w:szCs w:val="24"/>
          <w:vertAlign w:val="superscript"/>
        </w:rPr>
        <w:t>st</w:t>
      </w:r>
      <w:r w:rsidRPr="007C47E7">
        <w:rPr>
          <w:rFonts w:cstheme="minorHAnsi"/>
          <w:sz w:val="24"/>
          <w:szCs w:val="24"/>
        </w:rPr>
        <w:t xml:space="preserve"> Century Community Learning Centers (</w:t>
      </w:r>
      <w:r w:rsidR="0054682F" w:rsidRPr="007C47E7">
        <w:rPr>
          <w:rFonts w:cstheme="minorHAnsi"/>
          <w:sz w:val="24"/>
          <w:szCs w:val="24"/>
        </w:rPr>
        <w:t xml:space="preserve">CCLC) program </w:t>
      </w:r>
      <w:r w:rsidRPr="007C47E7">
        <w:rPr>
          <w:rFonts w:cstheme="minorHAnsi"/>
          <w:sz w:val="24"/>
          <w:szCs w:val="24"/>
        </w:rPr>
        <w:t>has developed the following guidance to ensure Oregon’</w:t>
      </w:r>
      <w:r w:rsidR="002A62CB" w:rsidRPr="007C47E7">
        <w:rPr>
          <w:rFonts w:cstheme="minorHAnsi"/>
          <w:sz w:val="24"/>
          <w:szCs w:val="24"/>
        </w:rPr>
        <w:t>s compliance with Federal regulations</w:t>
      </w:r>
      <w:r w:rsidRPr="007C47E7">
        <w:rPr>
          <w:rFonts w:cstheme="minorHAnsi"/>
          <w:sz w:val="24"/>
          <w:szCs w:val="24"/>
        </w:rPr>
        <w:t xml:space="preserve"> for sub</w:t>
      </w:r>
      <w:r w:rsidR="0054682F" w:rsidRPr="007C47E7">
        <w:rPr>
          <w:rFonts w:cstheme="minorHAnsi"/>
          <w:sz w:val="24"/>
          <w:szCs w:val="24"/>
        </w:rPr>
        <w:t>-</w:t>
      </w:r>
      <w:r w:rsidRPr="007C47E7">
        <w:rPr>
          <w:rFonts w:cstheme="minorHAnsi"/>
          <w:sz w:val="24"/>
          <w:szCs w:val="24"/>
        </w:rPr>
        <w:t>gr</w:t>
      </w:r>
      <w:r w:rsidR="0054682F" w:rsidRPr="007C47E7">
        <w:rPr>
          <w:rFonts w:cstheme="minorHAnsi"/>
          <w:sz w:val="24"/>
          <w:szCs w:val="24"/>
        </w:rPr>
        <w:t>antees p</w:t>
      </w:r>
      <w:r w:rsidR="002A62CB" w:rsidRPr="007C47E7">
        <w:rPr>
          <w:rFonts w:cstheme="minorHAnsi"/>
          <w:sz w:val="24"/>
          <w:szCs w:val="24"/>
        </w:rPr>
        <w:t>reparing for the close</w:t>
      </w:r>
      <w:r w:rsidR="006E3BB3" w:rsidRPr="007C47E7">
        <w:rPr>
          <w:rFonts w:cstheme="minorHAnsi"/>
          <w:sz w:val="24"/>
          <w:szCs w:val="24"/>
        </w:rPr>
        <w:t xml:space="preserve"> of </w:t>
      </w:r>
      <w:r w:rsidR="00194286" w:rsidRPr="007C47E7">
        <w:rPr>
          <w:rFonts w:cstheme="minorHAnsi"/>
          <w:sz w:val="24"/>
          <w:szCs w:val="24"/>
        </w:rPr>
        <w:t>a</w:t>
      </w:r>
      <w:r w:rsidR="0054682F" w:rsidRPr="007C47E7">
        <w:rPr>
          <w:rFonts w:cstheme="minorHAnsi"/>
          <w:sz w:val="24"/>
          <w:szCs w:val="24"/>
        </w:rPr>
        <w:t xml:space="preserve"> five-year funding cycle. As you review this information, we have taken into consideration that your program </w:t>
      </w:r>
      <w:r w:rsidR="00C37CB3">
        <w:rPr>
          <w:rFonts w:cstheme="minorHAnsi"/>
          <w:sz w:val="24"/>
          <w:szCs w:val="24"/>
        </w:rPr>
        <w:t>fall</w:t>
      </w:r>
      <w:r w:rsidR="0054682F" w:rsidRPr="007C47E7">
        <w:rPr>
          <w:rFonts w:cstheme="minorHAnsi"/>
          <w:sz w:val="24"/>
          <w:szCs w:val="24"/>
        </w:rPr>
        <w:t>s into one of three scenarios:</w:t>
      </w:r>
    </w:p>
    <w:p w:rsidR="0054682F" w:rsidRPr="007C47E7" w:rsidRDefault="0054682F" w:rsidP="00077314">
      <w:pPr>
        <w:pStyle w:val="ListParagraph"/>
        <w:numPr>
          <w:ilvl w:val="0"/>
          <w:numId w:val="1"/>
        </w:numPr>
        <w:shd w:val="clear" w:color="auto" w:fill="FFFFFF"/>
        <w:spacing w:before="120" w:after="100" w:line="240" w:lineRule="auto"/>
        <w:outlineLvl w:val="1"/>
        <w:rPr>
          <w:rFonts w:cstheme="minorHAnsi"/>
          <w:sz w:val="24"/>
          <w:szCs w:val="24"/>
        </w:rPr>
      </w:pPr>
      <w:r w:rsidRPr="007C47E7">
        <w:rPr>
          <w:rFonts w:cstheme="minorHAnsi"/>
          <w:sz w:val="24"/>
          <w:szCs w:val="24"/>
        </w:rPr>
        <w:t>The grant is coming to a close but the program is staying open;</w:t>
      </w:r>
    </w:p>
    <w:p w:rsidR="0054682F" w:rsidRPr="007C47E7" w:rsidRDefault="0054682F" w:rsidP="00077314">
      <w:pPr>
        <w:pStyle w:val="ListParagraph"/>
        <w:numPr>
          <w:ilvl w:val="0"/>
          <w:numId w:val="1"/>
        </w:numPr>
        <w:shd w:val="clear" w:color="auto" w:fill="FFFFFF"/>
        <w:spacing w:before="120" w:after="100" w:line="240" w:lineRule="auto"/>
        <w:outlineLvl w:val="1"/>
        <w:rPr>
          <w:rFonts w:cstheme="minorHAnsi"/>
          <w:sz w:val="24"/>
          <w:szCs w:val="24"/>
        </w:rPr>
      </w:pPr>
      <w:r w:rsidRPr="007C47E7">
        <w:rPr>
          <w:rFonts w:cstheme="minorHAnsi"/>
          <w:sz w:val="24"/>
          <w:szCs w:val="24"/>
        </w:rPr>
        <w:t>The grant is coming to a close and the program is ending;</w:t>
      </w:r>
    </w:p>
    <w:p w:rsidR="0054682F" w:rsidRPr="007C47E7" w:rsidRDefault="007C47E7" w:rsidP="00077314">
      <w:pPr>
        <w:pStyle w:val="ListParagraph"/>
        <w:numPr>
          <w:ilvl w:val="0"/>
          <w:numId w:val="1"/>
        </w:numPr>
        <w:shd w:val="clear" w:color="auto" w:fill="FFFFFF"/>
        <w:spacing w:before="120" w:after="100" w:line="240" w:lineRule="auto"/>
        <w:outlineLvl w:val="1"/>
        <w:rPr>
          <w:rFonts w:cstheme="minorHAnsi"/>
          <w:sz w:val="24"/>
          <w:szCs w:val="24"/>
        </w:rPr>
      </w:pPr>
      <w:r>
        <w:rPr>
          <w:rFonts w:cstheme="minorHAnsi"/>
          <w:sz w:val="24"/>
          <w:szCs w:val="24"/>
        </w:rPr>
        <w:t>The program may receive</w:t>
      </w:r>
      <w:r w:rsidR="0054682F" w:rsidRPr="007C47E7">
        <w:rPr>
          <w:rFonts w:cstheme="minorHAnsi"/>
          <w:sz w:val="24"/>
          <w:szCs w:val="24"/>
        </w:rPr>
        <w:t xml:space="preserve"> another 21</w:t>
      </w:r>
      <w:r w:rsidR="0054682F" w:rsidRPr="007C47E7">
        <w:rPr>
          <w:rFonts w:cstheme="minorHAnsi"/>
          <w:sz w:val="24"/>
          <w:szCs w:val="24"/>
          <w:vertAlign w:val="superscript"/>
        </w:rPr>
        <w:t>st</w:t>
      </w:r>
      <w:r w:rsidR="0054682F" w:rsidRPr="007C47E7">
        <w:rPr>
          <w:rFonts w:cstheme="minorHAnsi"/>
          <w:sz w:val="24"/>
          <w:szCs w:val="24"/>
        </w:rPr>
        <w:t xml:space="preserve"> CCLC grant.</w:t>
      </w:r>
    </w:p>
    <w:p w:rsidR="002A62CB" w:rsidRPr="000F71A7" w:rsidRDefault="00EC3AA8" w:rsidP="00077314">
      <w:pPr>
        <w:shd w:val="clear" w:color="auto" w:fill="FFFFFF"/>
        <w:spacing w:before="120" w:after="100" w:line="240" w:lineRule="auto"/>
        <w:outlineLvl w:val="1"/>
        <w:rPr>
          <w:rFonts w:cstheme="minorHAnsi"/>
          <w:i/>
          <w:sz w:val="24"/>
          <w:szCs w:val="24"/>
        </w:rPr>
      </w:pPr>
      <w:r w:rsidRPr="007C47E7">
        <w:rPr>
          <w:rFonts w:cstheme="minorHAnsi"/>
          <w:sz w:val="24"/>
          <w:szCs w:val="24"/>
        </w:rPr>
        <w:t>Sub</w:t>
      </w:r>
      <w:r w:rsidR="002A62CB" w:rsidRPr="007C47E7">
        <w:rPr>
          <w:rFonts w:cstheme="minorHAnsi"/>
          <w:sz w:val="24"/>
          <w:szCs w:val="24"/>
        </w:rPr>
        <w:t>-</w:t>
      </w:r>
      <w:r w:rsidRPr="007C47E7">
        <w:rPr>
          <w:rFonts w:cstheme="minorHAnsi"/>
          <w:sz w:val="24"/>
          <w:szCs w:val="24"/>
        </w:rPr>
        <w:t>grantees are required to review this guidance and other applicable State and Federal regulations concerning the close-out of this grant.</w:t>
      </w:r>
      <w:r w:rsidR="002A62CB" w:rsidRPr="007C47E7">
        <w:rPr>
          <w:rFonts w:cstheme="minorHAnsi"/>
          <w:sz w:val="24"/>
          <w:szCs w:val="24"/>
        </w:rPr>
        <w:t xml:space="preserve"> </w:t>
      </w:r>
    </w:p>
    <w:p w:rsidR="006C44F9" w:rsidRPr="00B77E99" w:rsidRDefault="006C44F9" w:rsidP="00B77E99">
      <w:pPr>
        <w:pStyle w:val="IntenseQuote"/>
        <w:spacing w:line="240" w:lineRule="auto"/>
        <w:outlineLvl w:val="0"/>
        <w:rPr>
          <w:rFonts w:cstheme="minorHAnsi"/>
          <w:sz w:val="28"/>
          <w:szCs w:val="28"/>
        </w:rPr>
      </w:pPr>
      <w:bookmarkStart w:id="0" w:name="_Toc514763944"/>
      <w:r w:rsidRPr="00B77E99">
        <w:rPr>
          <w:rFonts w:cstheme="minorHAnsi"/>
          <w:sz w:val="28"/>
          <w:szCs w:val="28"/>
        </w:rPr>
        <w:t>End-of-Year Report</w:t>
      </w:r>
      <w:r w:rsidR="000F71A7" w:rsidRPr="00B77E99">
        <w:rPr>
          <w:rFonts w:cstheme="minorHAnsi"/>
          <w:sz w:val="28"/>
          <w:szCs w:val="28"/>
        </w:rPr>
        <w:t>ing</w:t>
      </w:r>
      <w:bookmarkEnd w:id="0"/>
    </w:p>
    <w:p w:rsidR="005B73C7" w:rsidRDefault="005B73C7" w:rsidP="00A50E27">
      <w:pPr>
        <w:pStyle w:val="ListParagraph"/>
        <w:shd w:val="clear" w:color="auto" w:fill="FFFFFF"/>
        <w:spacing w:before="200" w:after="0" w:line="240" w:lineRule="auto"/>
        <w:ind w:left="0"/>
        <w:outlineLvl w:val="1"/>
        <w:rPr>
          <w:rFonts w:cstheme="minorHAnsi"/>
          <w:color w:val="000000" w:themeColor="text1"/>
          <w:sz w:val="24"/>
          <w:szCs w:val="24"/>
        </w:rPr>
      </w:pPr>
      <w:r>
        <w:rPr>
          <w:rFonts w:cstheme="minorHAnsi"/>
          <w:color w:val="000000" w:themeColor="text1"/>
          <w:sz w:val="24"/>
          <w:szCs w:val="24"/>
        </w:rPr>
        <w:t>All end-of-year report</w:t>
      </w:r>
      <w:r w:rsidR="000F71A7">
        <w:rPr>
          <w:rFonts w:cstheme="minorHAnsi"/>
          <w:color w:val="000000" w:themeColor="text1"/>
          <w:sz w:val="24"/>
          <w:szCs w:val="24"/>
        </w:rPr>
        <w:t>ing</w:t>
      </w:r>
      <w:r>
        <w:rPr>
          <w:rFonts w:cstheme="minorHAnsi"/>
          <w:color w:val="000000" w:themeColor="text1"/>
          <w:sz w:val="24"/>
          <w:szCs w:val="24"/>
        </w:rPr>
        <w:t xml:space="preserve"> must be submitted to ODE by the due dates listed below.</w:t>
      </w:r>
      <w:r w:rsidR="00A94A8A">
        <w:rPr>
          <w:rFonts w:cstheme="minorHAnsi"/>
          <w:color w:val="000000" w:themeColor="text1"/>
          <w:sz w:val="24"/>
          <w:szCs w:val="24"/>
        </w:rPr>
        <w:t xml:space="preserve"> Please note the </w:t>
      </w:r>
      <w:r w:rsidR="009F711A">
        <w:rPr>
          <w:rFonts w:cstheme="minorHAnsi"/>
          <w:color w:val="000000" w:themeColor="text1"/>
          <w:sz w:val="24"/>
          <w:szCs w:val="24"/>
        </w:rPr>
        <w:t xml:space="preserve">Actual Program Spending Form is </w:t>
      </w:r>
      <w:r w:rsidR="00A94A8A">
        <w:rPr>
          <w:rFonts w:cstheme="minorHAnsi"/>
          <w:color w:val="000000" w:themeColor="text1"/>
          <w:sz w:val="24"/>
          <w:szCs w:val="24"/>
        </w:rPr>
        <w:t xml:space="preserve">new. All other reports were shared at the November </w:t>
      </w:r>
      <w:r w:rsidR="009F711A">
        <w:rPr>
          <w:rFonts w:cstheme="minorHAnsi"/>
          <w:color w:val="000000" w:themeColor="text1"/>
          <w:sz w:val="24"/>
          <w:szCs w:val="24"/>
        </w:rPr>
        <w:t>Conference.</w:t>
      </w:r>
    </w:p>
    <w:p w:rsidR="00E362E4" w:rsidRDefault="00E362E4" w:rsidP="00A50E27">
      <w:pPr>
        <w:pStyle w:val="ListParagraph"/>
        <w:shd w:val="clear" w:color="auto" w:fill="FFFFFF"/>
        <w:spacing w:before="200" w:after="0" w:line="240" w:lineRule="auto"/>
        <w:ind w:left="0"/>
        <w:outlineLvl w:val="1"/>
        <w:rPr>
          <w:rFonts w:cstheme="minorHAnsi"/>
          <w:color w:val="000000" w:themeColor="text1"/>
          <w:sz w:val="24"/>
          <w:szCs w:val="24"/>
        </w:rPr>
      </w:pPr>
      <w:r>
        <w:rPr>
          <w:rFonts w:cstheme="minorHAnsi"/>
          <w:color w:val="000000" w:themeColor="text1"/>
          <w:sz w:val="24"/>
          <w:szCs w:val="24"/>
        </w:rPr>
        <w:t xml:space="preserve">Please submit all reports electronically by email to </w:t>
      </w:r>
      <w:hyperlink r:id="rId16" w:history="1">
        <w:r w:rsidRPr="00E362E4">
          <w:rPr>
            <w:rStyle w:val="Hyperlink"/>
            <w:rFonts w:cstheme="minorHAnsi"/>
            <w:sz w:val="24"/>
            <w:szCs w:val="24"/>
          </w:rPr>
          <w:t>Ann Kaltenbach</w:t>
        </w:r>
      </w:hyperlink>
      <w:r>
        <w:rPr>
          <w:rFonts w:cstheme="minorHAnsi"/>
          <w:color w:val="000000" w:themeColor="text1"/>
          <w:sz w:val="24"/>
          <w:szCs w:val="24"/>
        </w:rPr>
        <w:t>.</w:t>
      </w:r>
    </w:p>
    <w:p w:rsidR="00A50E27" w:rsidRPr="00077314" w:rsidRDefault="00A50E27" w:rsidP="00A50E27">
      <w:pPr>
        <w:pStyle w:val="ListParagraph"/>
        <w:shd w:val="clear" w:color="auto" w:fill="FFFFFF"/>
        <w:spacing w:before="200" w:after="0" w:line="240" w:lineRule="auto"/>
        <w:ind w:left="0"/>
        <w:outlineLvl w:val="1"/>
        <w:rPr>
          <w:rFonts w:cstheme="minorHAnsi"/>
          <w:b/>
          <w:color w:val="000000" w:themeColor="text1"/>
          <w:sz w:val="18"/>
          <w:szCs w:val="24"/>
        </w:rPr>
      </w:pPr>
    </w:p>
    <w:tbl>
      <w:tblPr>
        <w:tblStyle w:val="GridTable4-Accent1"/>
        <w:tblW w:w="0" w:type="auto"/>
        <w:jc w:val="center"/>
        <w:tblLook w:val="04A0" w:firstRow="1" w:lastRow="0" w:firstColumn="1" w:lastColumn="0" w:noHBand="0" w:noVBand="1"/>
      </w:tblPr>
      <w:tblGrid>
        <w:gridCol w:w="6565"/>
        <w:gridCol w:w="2785"/>
      </w:tblGrid>
      <w:tr w:rsidR="00BB0E18" w:rsidTr="00D27E9E">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565" w:type="dxa"/>
            <w:vAlign w:val="center"/>
          </w:tcPr>
          <w:p w:rsidR="00BB0E18" w:rsidRPr="00BB0E18" w:rsidRDefault="00BB0E18" w:rsidP="00BB0E18">
            <w:pPr>
              <w:spacing w:before="200"/>
              <w:outlineLvl w:val="1"/>
              <w:rPr>
                <w:rFonts w:cstheme="minorHAnsi"/>
                <w:color w:val="000000" w:themeColor="text1"/>
                <w:sz w:val="24"/>
                <w:szCs w:val="24"/>
              </w:rPr>
            </w:pPr>
            <w:r>
              <w:rPr>
                <w:rFonts w:cstheme="minorHAnsi"/>
                <w:color w:val="000000" w:themeColor="text1"/>
                <w:sz w:val="24"/>
                <w:szCs w:val="24"/>
              </w:rPr>
              <w:t>Required Reports</w:t>
            </w:r>
          </w:p>
        </w:tc>
        <w:tc>
          <w:tcPr>
            <w:tcW w:w="2785" w:type="dxa"/>
            <w:vAlign w:val="center"/>
          </w:tcPr>
          <w:p w:rsidR="00BB0E18" w:rsidRPr="00602631" w:rsidRDefault="00BB0E18" w:rsidP="00BB0E18">
            <w:pPr>
              <w:pStyle w:val="ListParagraph"/>
              <w:spacing w:before="200"/>
              <w:ind w:left="0"/>
              <w:jc w:val="center"/>
              <w:outlineLvl w:val="1"/>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Date Due</w:t>
            </w:r>
          </w:p>
        </w:tc>
      </w:tr>
      <w:tr w:rsidR="00BB0E18" w:rsidTr="00077314">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6565" w:type="dxa"/>
          </w:tcPr>
          <w:p w:rsidR="004627AA" w:rsidRPr="00692F60" w:rsidRDefault="00BB0E18" w:rsidP="00692F60">
            <w:pPr>
              <w:pStyle w:val="ListParagraph"/>
              <w:numPr>
                <w:ilvl w:val="0"/>
                <w:numId w:val="14"/>
              </w:numPr>
              <w:spacing w:before="200"/>
              <w:outlineLvl w:val="1"/>
              <w:rPr>
                <w:rFonts w:cstheme="minorHAnsi"/>
                <w:color w:val="000000" w:themeColor="text1"/>
                <w:sz w:val="24"/>
                <w:szCs w:val="24"/>
              </w:rPr>
            </w:pPr>
            <w:r w:rsidRPr="00BB0E18">
              <w:rPr>
                <w:rFonts w:cstheme="minorHAnsi"/>
                <w:color w:val="000000" w:themeColor="text1"/>
                <w:sz w:val="24"/>
                <w:szCs w:val="24"/>
              </w:rPr>
              <w:t xml:space="preserve">Actual </w:t>
            </w:r>
            <w:r w:rsidR="004627AA">
              <w:rPr>
                <w:rFonts w:cstheme="minorHAnsi"/>
                <w:color w:val="000000" w:themeColor="text1"/>
                <w:sz w:val="24"/>
                <w:szCs w:val="24"/>
              </w:rPr>
              <w:t xml:space="preserve">Program Spending Form </w:t>
            </w:r>
            <w:r w:rsidRPr="00BB0E18">
              <w:rPr>
                <w:rFonts w:cstheme="minorHAnsi"/>
                <w:color w:val="000000" w:themeColor="text1"/>
                <w:sz w:val="24"/>
                <w:szCs w:val="24"/>
              </w:rPr>
              <w:t>for Year 5</w:t>
            </w:r>
            <w:r w:rsidR="004627AA">
              <w:rPr>
                <w:rFonts w:cstheme="minorHAnsi"/>
                <w:color w:val="000000" w:themeColor="text1"/>
                <w:sz w:val="24"/>
                <w:szCs w:val="24"/>
              </w:rPr>
              <w:t xml:space="preserve"> (See Excel template</w:t>
            </w:r>
            <w:r w:rsidR="009F4872">
              <w:rPr>
                <w:rFonts w:cstheme="minorHAnsi"/>
                <w:color w:val="000000" w:themeColor="text1"/>
                <w:sz w:val="24"/>
                <w:szCs w:val="24"/>
              </w:rPr>
              <w:t xml:space="preserve"> attachment</w:t>
            </w:r>
            <w:r w:rsidR="004627AA">
              <w:rPr>
                <w:rFonts w:cstheme="minorHAnsi"/>
                <w:color w:val="000000" w:themeColor="text1"/>
                <w:sz w:val="24"/>
                <w:szCs w:val="24"/>
              </w:rPr>
              <w:t>)</w:t>
            </w:r>
          </w:p>
        </w:tc>
        <w:tc>
          <w:tcPr>
            <w:tcW w:w="2785" w:type="dxa"/>
          </w:tcPr>
          <w:p w:rsidR="00BB0E18" w:rsidRPr="00602631" w:rsidRDefault="00A94A8A" w:rsidP="00BB0E18">
            <w:pPr>
              <w:pStyle w:val="ListParagraph"/>
              <w:spacing w:before="200"/>
              <w:ind w:left="0"/>
              <w:outlineLvl w:val="1"/>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w:t>
            </w:r>
            <w:r w:rsidR="00BB0E18">
              <w:rPr>
                <w:rFonts w:cstheme="minorHAnsi"/>
                <w:color w:val="000000" w:themeColor="text1"/>
                <w:sz w:val="24"/>
                <w:szCs w:val="24"/>
              </w:rPr>
              <w:t>/30/2018</w:t>
            </w:r>
          </w:p>
        </w:tc>
      </w:tr>
      <w:tr w:rsidR="00BB0E18" w:rsidTr="00077314">
        <w:trPr>
          <w:trHeight w:val="377"/>
          <w:jc w:val="center"/>
        </w:trPr>
        <w:tc>
          <w:tcPr>
            <w:cnfStyle w:val="001000000000" w:firstRow="0" w:lastRow="0" w:firstColumn="1" w:lastColumn="0" w:oddVBand="0" w:evenVBand="0" w:oddHBand="0" w:evenHBand="0" w:firstRowFirstColumn="0" w:firstRowLastColumn="0" w:lastRowFirstColumn="0" w:lastRowLastColumn="0"/>
            <w:tcW w:w="6565" w:type="dxa"/>
          </w:tcPr>
          <w:p w:rsidR="00BB0E18" w:rsidRPr="00BB0E18" w:rsidRDefault="00BB0E18" w:rsidP="00BB0E18">
            <w:pPr>
              <w:pStyle w:val="ListParagraph"/>
              <w:numPr>
                <w:ilvl w:val="0"/>
                <w:numId w:val="14"/>
              </w:numPr>
              <w:spacing w:before="200"/>
              <w:outlineLvl w:val="1"/>
              <w:rPr>
                <w:rFonts w:cstheme="minorHAnsi"/>
                <w:color w:val="000000" w:themeColor="text1"/>
                <w:sz w:val="24"/>
                <w:szCs w:val="24"/>
              </w:rPr>
            </w:pPr>
            <w:r w:rsidRPr="00BB0E18">
              <w:rPr>
                <w:rFonts w:cstheme="minorHAnsi"/>
                <w:color w:val="000000" w:themeColor="text1"/>
                <w:sz w:val="24"/>
                <w:szCs w:val="24"/>
              </w:rPr>
              <w:t>Annual Evaluation</w:t>
            </w:r>
          </w:p>
        </w:tc>
        <w:tc>
          <w:tcPr>
            <w:tcW w:w="2785" w:type="dxa"/>
          </w:tcPr>
          <w:p w:rsidR="00BB0E18" w:rsidRPr="00602631" w:rsidRDefault="00BB0E18" w:rsidP="00BB0E18">
            <w:pPr>
              <w:pStyle w:val="ListParagraph"/>
              <w:spacing w:before="200"/>
              <w:ind w:left="0"/>
              <w:outlineLvl w:val="1"/>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602631">
              <w:rPr>
                <w:rFonts w:cstheme="minorHAnsi"/>
                <w:color w:val="000000" w:themeColor="text1"/>
                <w:sz w:val="24"/>
                <w:szCs w:val="24"/>
              </w:rPr>
              <w:t>9/30/2018</w:t>
            </w:r>
          </w:p>
        </w:tc>
      </w:tr>
      <w:tr w:rsidR="00BB0E18" w:rsidTr="00D27E9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565" w:type="dxa"/>
          </w:tcPr>
          <w:p w:rsidR="00BB0E18" w:rsidRPr="00BB0E18" w:rsidRDefault="00BB0E18" w:rsidP="00BB0E18">
            <w:pPr>
              <w:pStyle w:val="ListParagraph"/>
              <w:numPr>
                <w:ilvl w:val="0"/>
                <w:numId w:val="14"/>
              </w:numPr>
              <w:spacing w:before="200"/>
              <w:outlineLvl w:val="1"/>
              <w:rPr>
                <w:rFonts w:cstheme="minorHAnsi"/>
                <w:color w:val="000000" w:themeColor="text1"/>
                <w:sz w:val="24"/>
                <w:szCs w:val="24"/>
              </w:rPr>
            </w:pPr>
            <w:r w:rsidRPr="00BB0E18">
              <w:rPr>
                <w:rFonts w:cstheme="minorHAnsi"/>
                <w:color w:val="000000" w:themeColor="text1"/>
                <w:sz w:val="24"/>
                <w:szCs w:val="24"/>
              </w:rPr>
              <w:t>Five (5) Year Summary</w:t>
            </w:r>
          </w:p>
        </w:tc>
        <w:tc>
          <w:tcPr>
            <w:tcW w:w="2785" w:type="dxa"/>
          </w:tcPr>
          <w:p w:rsidR="00BB0E18" w:rsidRPr="00602631" w:rsidRDefault="00BB0E18" w:rsidP="00BB0E18">
            <w:pPr>
              <w:pStyle w:val="ListParagraph"/>
              <w:spacing w:before="200"/>
              <w:ind w:left="0"/>
              <w:outlineLvl w:val="1"/>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602631">
              <w:rPr>
                <w:rFonts w:cstheme="minorHAnsi"/>
                <w:color w:val="000000" w:themeColor="text1"/>
                <w:sz w:val="24"/>
                <w:szCs w:val="24"/>
              </w:rPr>
              <w:t>9/30/2018</w:t>
            </w:r>
          </w:p>
        </w:tc>
      </w:tr>
      <w:tr w:rsidR="00BB0E18" w:rsidTr="00D27E9E">
        <w:trPr>
          <w:trHeight w:val="432"/>
          <w:jc w:val="center"/>
        </w:trPr>
        <w:tc>
          <w:tcPr>
            <w:cnfStyle w:val="001000000000" w:firstRow="0" w:lastRow="0" w:firstColumn="1" w:lastColumn="0" w:oddVBand="0" w:evenVBand="0" w:oddHBand="0" w:evenHBand="0" w:firstRowFirstColumn="0" w:firstRowLastColumn="0" w:lastRowFirstColumn="0" w:lastRowLastColumn="0"/>
            <w:tcW w:w="6565" w:type="dxa"/>
          </w:tcPr>
          <w:p w:rsidR="00BB0E18" w:rsidRPr="00BB0E18" w:rsidRDefault="00BB0E18" w:rsidP="00BB0E18">
            <w:pPr>
              <w:pStyle w:val="ListParagraph"/>
              <w:numPr>
                <w:ilvl w:val="0"/>
                <w:numId w:val="14"/>
              </w:numPr>
              <w:spacing w:before="200"/>
              <w:outlineLvl w:val="1"/>
              <w:rPr>
                <w:rFonts w:cstheme="minorHAnsi"/>
                <w:color w:val="000000" w:themeColor="text1"/>
                <w:sz w:val="24"/>
                <w:szCs w:val="24"/>
              </w:rPr>
            </w:pPr>
            <w:r w:rsidRPr="00BB0E18">
              <w:rPr>
                <w:rFonts w:cstheme="minorHAnsi"/>
                <w:color w:val="000000" w:themeColor="text1"/>
                <w:sz w:val="24"/>
                <w:szCs w:val="24"/>
              </w:rPr>
              <w:t>End-of-Year Report</w:t>
            </w:r>
            <w:r w:rsidR="00077314">
              <w:rPr>
                <w:rFonts w:cstheme="minorHAnsi"/>
                <w:color w:val="000000" w:themeColor="text1"/>
                <w:sz w:val="24"/>
                <w:szCs w:val="24"/>
              </w:rPr>
              <w:t xml:space="preserve"> (See Excel template attachment)</w:t>
            </w:r>
          </w:p>
        </w:tc>
        <w:tc>
          <w:tcPr>
            <w:tcW w:w="2785" w:type="dxa"/>
          </w:tcPr>
          <w:p w:rsidR="00BB0E18" w:rsidRPr="00602631" w:rsidRDefault="00A94A8A" w:rsidP="00BB0E18">
            <w:pPr>
              <w:pStyle w:val="ListParagraph"/>
              <w:spacing w:before="200"/>
              <w:ind w:left="0"/>
              <w:outlineLvl w:val="1"/>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w:t>
            </w:r>
            <w:r w:rsidR="004A3B9B">
              <w:rPr>
                <w:rFonts w:cstheme="minorHAnsi"/>
                <w:color w:val="000000" w:themeColor="text1"/>
                <w:sz w:val="24"/>
                <w:szCs w:val="24"/>
              </w:rPr>
              <w:t>/30/2018</w:t>
            </w:r>
          </w:p>
        </w:tc>
      </w:tr>
      <w:tr w:rsidR="00BB0E18" w:rsidTr="00D27E9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565" w:type="dxa"/>
          </w:tcPr>
          <w:p w:rsidR="00BB0E18" w:rsidRPr="00BB0E18" w:rsidRDefault="00BB0E18" w:rsidP="00BB0E18">
            <w:pPr>
              <w:pStyle w:val="ListParagraph"/>
              <w:numPr>
                <w:ilvl w:val="0"/>
                <w:numId w:val="14"/>
              </w:numPr>
              <w:spacing w:before="200"/>
              <w:outlineLvl w:val="1"/>
              <w:rPr>
                <w:rFonts w:cstheme="minorHAnsi"/>
                <w:color w:val="000000" w:themeColor="text1"/>
                <w:sz w:val="24"/>
                <w:szCs w:val="24"/>
              </w:rPr>
            </w:pPr>
            <w:r w:rsidRPr="00BB0E18">
              <w:rPr>
                <w:rFonts w:cstheme="minorHAnsi"/>
                <w:color w:val="000000" w:themeColor="text1"/>
                <w:sz w:val="24"/>
                <w:szCs w:val="24"/>
              </w:rPr>
              <w:t>APR</w:t>
            </w:r>
          </w:p>
        </w:tc>
        <w:tc>
          <w:tcPr>
            <w:tcW w:w="2785" w:type="dxa"/>
          </w:tcPr>
          <w:p w:rsidR="00BB0E18" w:rsidRPr="00602631" w:rsidRDefault="00BB0E18" w:rsidP="00BB0E18">
            <w:pPr>
              <w:pStyle w:val="ListParagraph"/>
              <w:spacing w:before="200"/>
              <w:ind w:left="0"/>
              <w:outlineLvl w:val="1"/>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602631">
              <w:rPr>
                <w:rFonts w:cstheme="minorHAnsi"/>
                <w:color w:val="000000" w:themeColor="text1"/>
                <w:sz w:val="24"/>
                <w:szCs w:val="24"/>
              </w:rPr>
              <w:t>See below for Term Open/Close Dates</w:t>
            </w:r>
          </w:p>
        </w:tc>
      </w:tr>
    </w:tbl>
    <w:p w:rsidR="008D7983" w:rsidRDefault="004627AA" w:rsidP="00077314">
      <w:pPr>
        <w:pStyle w:val="ListParagraph"/>
        <w:numPr>
          <w:ilvl w:val="0"/>
          <w:numId w:val="26"/>
        </w:numPr>
        <w:shd w:val="clear" w:color="auto" w:fill="FFFFFF"/>
        <w:spacing w:before="200" w:after="0" w:line="240" w:lineRule="auto"/>
        <w:outlineLvl w:val="1"/>
        <w:rPr>
          <w:rFonts w:cstheme="minorHAnsi"/>
          <w:b/>
          <w:color w:val="000000" w:themeColor="text1"/>
          <w:sz w:val="24"/>
          <w:szCs w:val="24"/>
          <w:u w:val="single"/>
        </w:rPr>
      </w:pPr>
      <w:r>
        <w:rPr>
          <w:rFonts w:cstheme="minorHAnsi"/>
          <w:b/>
          <w:color w:val="000000" w:themeColor="text1"/>
          <w:sz w:val="24"/>
          <w:szCs w:val="24"/>
          <w:u w:val="single"/>
        </w:rPr>
        <w:t>Financial Reports</w:t>
      </w:r>
      <w:r w:rsidR="00A94A8A">
        <w:rPr>
          <w:rFonts w:cstheme="minorHAnsi"/>
          <w:b/>
          <w:color w:val="000000" w:themeColor="text1"/>
          <w:sz w:val="24"/>
          <w:szCs w:val="24"/>
          <w:u w:val="single"/>
        </w:rPr>
        <w:t xml:space="preserve"> </w:t>
      </w:r>
      <w:r w:rsidR="00A94A8A" w:rsidRPr="00A94A8A">
        <w:rPr>
          <w:rFonts w:cstheme="minorHAnsi"/>
          <w:b/>
          <w:color w:val="FF0000"/>
          <w:sz w:val="24"/>
          <w:szCs w:val="24"/>
          <w:u w:val="single"/>
        </w:rPr>
        <w:t>(New!)</w:t>
      </w:r>
    </w:p>
    <w:p w:rsidR="004627AA" w:rsidRDefault="00656EE0" w:rsidP="00C65EA9">
      <w:pPr>
        <w:spacing w:after="0" w:line="240" w:lineRule="auto"/>
        <w:rPr>
          <w:rFonts w:cstheme="minorHAnsi"/>
          <w:color w:val="000000" w:themeColor="text1"/>
          <w:sz w:val="24"/>
          <w:szCs w:val="24"/>
        </w:rPr>
      </w:pPr>
      <w:r w:rsidRPr="00656EE0">
        <w:rPr>
          <w:rFonts w:cstheme="minorHAnsi"/>
          <w:color w:val="000000" w:themeColor="text1"/>
          <w:sz w:val="24"/>
          <w:szCs w:val="24"/>
        </w:rPr>
        <w:t>ODE will conduct a review of close-out sub-grantee financia</w:t>
      </w:r>
      <w:r>
        <w:rPr>
          <w:rFonts w:cstheme="minorHAnsi"/>
          <w:color w:val="000000" w:themeColor="text1"/>
          <w:sz w:val="24"/>
          <w:szCs w:val="24"/>
        </w:rPr>
        <w:t xml:space="preserve">l records. </w:t>
      </w:r>
      <w:r w:rsidRPr="00656EE0">
        <w:rPr>
          <w:rFonts w:cstheme="minorHAnsi"/>
          <w:color w:val="000000" w:themeColor="text1"/>
          <w:sz w:val="24"/>
          <w:szCs w:val="24"/>
        </w:rPr>
        <w:t xml:space="preserve">The review will be conducted via a desk audit. Sub-grantees </w:t>
      </w:r>
      <w:r w:rsidR="005B73C7">
        <w:rPr>
          <w:rFonts w:cstheme="minorHAnsi"/>
          <w:color w:val="000000" w:themeColor="text1"/>
          <w:sz w:val="24"/>
          <w:szCs w:val="24"/>
        </w:rPr>
        <w:t>must submit</w:t>
      </w:r>
      <w:r w:rsidR="004627AA">
        <w:rPr>
          <w:rFonts w:cstheme="minorHAnsi"/>
          <w:color w:val="000000" w:themeColor="text1"/>
          <w:sz w:val="24"/>
          <w:szCs w:val="24"/>
        </w:rPr>
        <w:t xml:space="preserve"> the following:</w:t>
      </w:r>
    </w:p>
    <w:p w:rsidR="004627AA" w:rsidRDefault="004627AA" w:rsidP="00C65EA9">
      <w:pPr>
        <w:pStyle w:val="ListParagraph"/>
        <w:spacing w:after="120" w:line="240" w:lineRule="auto"/>
        <w:ind w:left="360"/>
        <w:rPr>
          <w:rFonts w:cstheme="minorHAnsi"/>
          <w:color w:val="000000" w:themeColor="text1"/>
          <w:sz w:val="24"/>
          <w:szCs w:val="24"/>
        </w:rPr>
      </w:pPr>
      <w:r w:rsidRPr="00675000">
        <w:rPr>
          <w:rFonts w:cstheme="minorHAnsi"/>
          <w:b/>
          <w:color w:val="000000" w:themeColor="text1"/>
          <w:sz w:val="24"/>
          <w:szCs w:val="24"/>
        </w:rPr>
        <w:t>Actual Program Spending Form</w:t>
      </w:r>
      <w:r w:rsidR="00656EE0" w:rsidRPr="00675000">
        <w:rPr>
          <w:rFonts w:cstheme="minorHAnsi"/>
          <w:b/>
          <w:color w:val="000000" w:themeColor="text1"/>
          <w:sz w:val="24"/>
          <w:szCs w:val="24"/>
        </w:rPr>
        <w:t xml:space="preserve"> f</w:t>
      </w:r>
      <w:r w:rsidR="005B73C7" w:rsidRPr="00675000">
        <w:rPr>
          <w:rFonts w:cstheme="minorHAnsi"/>
          <w:b/>
          <w:color w:val="000000" w:themeColor="text1"/>
          <w:sz w:val="24"/>
          <w:szCs w:val="24"/>
        </w:rPr>
        <w:t>or Year 5</w:t>
      </w:r>
      <w:r w:rsidRPr="00675000">
        <w:rPr>
          <w:rFonts w:cstheme="minorHAnsi"/>
          <w:b/>
          <w:color w:val="000000" w:themeColor="text1"/>
          <w:sz w:val="24"/>
          <w:szCs w:val="24"/>
        </w:rPr>
        <w:t xml:space="preserve">: </w:t>
      </w:r>
      <w:r w:rsidRPr="00675000">
        <w:rPr>
          <w:rFonts w:cstheme="minorHAnsi"/>
          <w:color w:val="000000" w:themeColor="text1"/>
          <w:sz w:val="24"/>
          <w:szCs w:val="24"/>
        </w:rPr>
        <w:t xml:space="preserve">This report </w:t>
      </w:r>
      <w:r w:rsidR="00692F60">
        <w:rPr>
          <w:rFonts w:cstheme="minorHAnsi"/>
          <w:color w:val="000000" w:themeColor="text1"/>
          <w:sz w:val="24"/>
          <w:szCs w:val="24"/>
        </w:rPr>
        <w:t xml:space="preserve">details </w:t>
      </w:r>
      <w:r w:rsidR="00675000" w:rsidRPr="00675000">
        <w:rPr>
          <w:rFonts w:cstheme="minorHAnsi"/>
          <w:color w:val="000000" w:themeColor="text1"/>
          <w:sz w:val="24"/>
          <w:szCs w:val="24"/>
        </w:rPr>
        <w:t xml:space="preserve">the actual expenditures as compared to the Program Spending Form sub-grantees submitted for year 5. Please use the template in the </w:t>
      </w:r>
      <w:r w:rsidR="00656EE0" w:rsidRPr="00675000">
        <w:rPr>
          <w:rFonts w:cstheme="minorHAnsi"/>
          <w:color w:val="000000" w:themeColor="text1"/>
          <w:sz w:val="24"/>
          <w:szCs w:val="24"/>
        </w:rPr>
        <w:t>Excel document</w:t>
      </w:r>
      <w:r w:rsidR="005B73C7" w:rsidRPr="00675000">
        <w:rPr>
          <w:rFonts w:cstheme="minorHAnsi"/>
          <w:color w:val="000000" w:themeColor="text1"/>
          <w:sz w:val="24"/>
          <w:szCs w:val="24"/>
        </w:rPr>
        <w:t xml:space="preserve"> sent via email</w:t>
      </w:r>
      <w:r w:rsidR="00656EE0" w:rsidRPr="00675000">
        <w:rPr>
          <w:rFonts w:cstheme="minorHAnsi"/>
          <w:color w:val="000000" w:themeColor="text1"/>
          <w:sz w:val="24"/>
          <w:szCs w:val="24"/>
        </w:rPr>
        <w:t xml:space="preserve">. </w:t>
      </w:r>
    </w:p>
    <w:p w:rsidR="00FE0A8E" w:rsidRPr="00675000" w:rsidRDefault="00FE0A8E" w:rsidP="00FE0A8E">
      <w:pPr>
        <w:pStyle w:val="ListParagraph"/>
        <w:spacing w:after="120"/>
        <w:rPr>
          <w:rFonts w:cstheme="minorHAnsi"/>
          <w:color w:val="000000" w:themeColor="text1"/>
          <w:sz w:val="24"/>
          <w:szCs w:val="24"/>
        </w:rPr>
      </w:pPr>
    </w:p>
    <w:p w:rsidR="00E77BC2" w:rsidRPr="000231F4" w:rsidRDefault="00FA1AA2" w:rsidP="00077314">
      <w:pPr>
        <w:pStyle w:val="ListParagraph"/>
        <w:numPr>
          <w:ilvl w:val="0"/>
          <w:numId w:val="26"/>
        </w:numPr>
        <w:shd w:val="clear" w:color="auto" w:fill="FFFFFF"/>
        <w:spacing w:before="200" w:after="0" w:line="240" w:lineRule="auto"/>
        <w:outlineLvl w:val="1"/>
        <w:rPr>
          <w:rFonts w:cstheme="minorHAnsi"/>
          <w:b/>
          <w:color w:val="000000" w:themeColor="text1"/>
          <w:sz w:val="24"/>
          <w:szCs w:val="24"/>
          <w:u w:val="single"/>
        </w:rPr>
      </w:pPr>
      <w:r w:rsidRPr="000231F4">
        <w:rPr>
          <w:rFonts w:cstheme="minorHAnsi"/>
          <w:b/>
          <w:color w:val="000000" w:themeColor="text1"/>
          <w:sz w:val="24"/>
          <w:szCs w:val="24"/>
          <w:u w:val="single"/>
        </w:rPr>
        <w:t>Annual Evaluation</w:t>
      </w:r>
      <w:r w:rsidR="00A94A8A">
        <w:rPr>
          <w:rFonts w:cstheme="minorHAnsi"/>
          <w:b/>
          <w:color w:val="000000" w:themeColor="text1"/>
          <w:sz w:val="24"/>
          <w:szCs w:val="24"/>
          <w:u w:val="single"/>
        </w:rPr>
        <w:t xml:space="preserve"> </w:t>
      </w:r>
    </w:p>
    <w:p w:rsidR="00E77BC2" w:rsidRDefault="000231F4" w:rsidP="00077314">
      <w:pPr>
        <w:shd w:val="clear" w:color="auto" w:fill="FFFFFF"/>
        <w:spacing w:after="100" w:line="240" w:lineRule="auto"/>
        <w:outlineLvl w:val="1"/>
        <w:rPr>
          <w:rFonts w:ascii="Calibri" w:hAnsi="Calibri" w:cs="Calibri"/>
          <w:sz w:val="24"/>
          <w:szCs w:val="24"/>
        </w:rPr>
      </w:pPr>
      <w:r>
        <w:rPr>
          <w:rFonts w:ascii="Calibri" w:hAnsi="Calibri" w:cs="Calibri"/>
          <w:sz w:val="24"/>
          <w:szCs w:val="24"/>
        </w:rPr>
        <w:t xml:space="preserve">The ODE recommends the use of an external evaluator. </w:t>
      </w:r>
      <w:r w:rsidR="00E77BC2" w:rsidRPr="00E77BC2">
        <w:rPr>
          <w:rFonts w:ascii="Calibri" w:hAnsi="Calibri" w:cs="Calibri"/>
          <w:sz w:val="24"/>
          <w:szCs w:val="24"/>
        </w:rPr>
        <w:t xml:space="preserve">If an external evaluator is used </w:t>
      </w:r>
      <w:r w:rsidR="00E77BC2">
        <w:rPr>
          <w:rFonts w:ascii="Calibri" w:hAnsi="Calibri" w:cs="Calibri"/>
          <w:sz w:val="24"/>
          <w:szCs w:val="24"/>
        </w:rPr>
        <w:t>to complete this report,</w:t>
      </w:r>
      <w:r w:rsidR="00E77BC2" w:rsidRPr="00E77BC2">
        <w:rPr>
          <w:rFonts w:ascii="Calibri" w:hAnsi="Calibri" w:cs="Calibri"/>
          <w:sz w:val="24"/>
          <w:szCs w:val="24"/>
        </w:rPr>
        <w:t xml:space="preserve"> identify the organization, qual</w:t>
      </w:r>
      <w:r w:rsidR="00E77BC2">
        <w:rPr>
          <w:rFonts w:ascii="Calibri" w:hAnsi="Calibri" w:cs="Calibri"/>
          <w:sz w:val="24"/>
          <w:szCs w:val="24"/>
        </w:rPr>
        <w:t>ifi</w:t>
      </w:r>
      <w:r>
        <w:rPr>
          <w:rFonts w:ascii="Calibri" w:hAnsi="Calibri" w:cs="Calibri"/>
          <w:sz w:val="24"/>
          <w:szCs w:val="24"/>
        </w:rPr>
        <w:t xml:space="preserve">cations </w:t>
      </w:r>
      <w:r w:rsidR="00E77BC2">
        <w:rPr>
          <w:rFonts w:ascii="Calibri" w:hAnsi="Calibri" w:cs="Calibri"/>
          <w:sz w:val="24"/>
          <w:szCs w:val="24"/>
        </w:rPr>
        <w:t>and</w:t>
      </w:r>
      <w:r w:rsidR="00E77BC2" w:rsidRPr="00E77BC2">
        <w:rPr>
          <w:rFonts w:ascii="Calibri" w:hAnsi="Calibri" w:cs="Calibri"/>
          <w:sz w:val="24"/>
          <w:szCs w:val="24"/>
        </w:rPr>
        <w:t xml:space="preserve"> responsibilities</w:t>
      </w:r>
      <w:r>
        <w:rPr>
          <w:rFonts w:ascii="Calibri" w:hAnsi="Calibri" w:cs="Calibri"/>
          <w:sz w:val="24"/>
          <w:szCs w:val="24"/>
        </w:rPr>
        <w:t xml:space="preserve"> of the evaluator.</w:t>
      </w:r>
    </w:p>
    <w:p w:rsidR="00FA1AA2" w:rsidRPr="00BB0E18" w:rsidRDefault="00BB0E18" w:rsidP="00917999">
      <w:pPr>
        <w:spacing w:after="0" w:line="240" w:lineRule="auto"/>
        <w:ind w:left="360"/>
        <w:rPr>
          <w:rFonts w:ascii="Calibri" w:hAnsi="Calibri" w:cs="Calibri"/>
          <w:b/>
          <w:sz w:val="24"/>
          <w:szCs w:val="24"/>
        </w:rPr>
      </w:pPr>
      <w:r>
        <w:rPr>
          <w:rFonts w:ascii="Calibri" w:hAnsi="Calibri" w:cs="Calibri"/>
          <w:b/>
          <w:sz w:val="24"/>
          <w:szCs w:val="24"/>
        </w:rPr>
        <w:t xml:space="preserve">The </w:t>
      </w:r>
      <w:r w:rsidR="00FE0A8E">
        <w:rPr>
          <w:rFonts w:ascii="Calibri" w:hAnsi="Calibri" w:cs="Calibri"/>
          <w:b/>
          <w:sz w:val="24"/>
          <w:szCs w:val="24"/>
        </w:rPr>
        <w:t>Evaluation</w:t>
      </w:r>
      <w:r>
        <w:rPr>
          <w:rFonts w:ascii="Calibri" w:hAnsi="Calibri" w:cs="Calibri"/>
          <w:b/>
          <w:sz w:val="24"/>
          <w:szCs w:val="24"/>
        </w:rPr>
        <w:t xml:space="preserve"> must include: </w:t>
      </w:r>
    </w:p>
    <w:p w:rsidR="000231F4" w:rsidRDefault="000231F4" w:rsidP="00C65EA9">
      <w:pPr>
        <w:pStyle w:val="ListParagraph"/>
        <w:numPr>
          <w:ilvl w:val="0"/>
          <w:numId w:val="6"/>
        </w:numPr>
        <w:spacing w:after="160" w:line="240" w:lineRule="auto"/>
        <w:rPr>
          <w:rFonts w:ascii="Calibri" w:hAnsi="Calibri" w:cs="Calibri"/>
          <w:sz w:val="24"/>
          <w:szCs w:val="24"/>
        </w:rPr>
      </w:pPr>
      <w:r>
        <w:rPr>
          <w:rFonts w:ascii="Calibri" w:hAnsi="Calibri" w:cs="Calibri"/>
          <w:sz w:val="24"/>
          <w:szCs w:val="24"/>
        </w:rPr>
        <w:t>A</w:t>
      </w:r>
      <w:r w:rsidRPr="00D84FF4">
        <w:rPr>
          <w:rFonts w:ascii="Calibri" w:hAnsi="Calibri" w:cs="Calibri"/>
          <w:sz w:val="24"/>
          <w:szCs w:val="24"/>
        </w:rPr>
        <w:t>ll annual goals and objectives</w:t>
      </w:r>
      <w:r>
        <w:rPr>
          <w:rFonts w:ascii="Calibri" w:hAnsi="Calibri" w:cs="Calibri"/>
          <w:sz w:val="24"/>
          <w:szCs w:val="24"/>
        </w:rPr>
        <w:t>;</w:t>
      </w:r>
    </w:p>
    <w:p w:rsidR="000231F4" w:rsidRPr="004627AA" w:rsidRDefault="000231F4" w:rsidP="00C65EA9">
      <w:pPr>
        <w:pStyle w:val="ListParagraph"/>
        <w:numPr>
          <w:ilvl w:val="0"/>
          <w:numId w:val="6"/>
        </w:numPr>
        <w:spacing w:after="160" w:line="240" w:lineRule="auto"/>
        <w:rPr>
          <w:rFonts w:ascii="Calibri" w:hAnsi="Calibri" w:cs="Calibri"/>
          <w:sz w:val="24"/>
          <w:szCs w:val="24"/>
        </w:rPr>
      </w:pPr>
      <w:r>
        <w:rPr>
          <w:rFonts w:ascii="Calibri" w:hAnsi="Calibri" w:cs="Calibri"/>
          <w:sz w:val="24"/>
          <w:szCs w:val="24"/>
        </w:rPr>
        <w:t>P</w:t>
      </w:r>
      <w:r w:rsidRPr="000231F4">
        <w:rPr>
          <w:rFonts w:ascii="Calibri" w:hAnsi="Calibri" w:cs="Calibri"/>
          <w:sz w:val="24"/>
          <w:szCs w:val="24"/>
        </w:rPr>
        <w:t>rogram strengths and opportunities for improvement/growth</w:t>
      </w:r>
      <w:r>
        <w:rPr>
          <w:rFonts w:ascii="Calibri" w:hAnsi="Calibri" w:cs="Calibri"/>
          <w:sz w:val="24"/>
          <w:szCs w:val="24"/>
        </w:rPr>
        <w:t>;</w:t>
      </w:r>
    </w:p>
    <w:p w:rsidR="00FA1AA2" w:rsidRPr="00D84FF4" w:rsidRDefault="000231F4" w:rsidP="00C65EA9">
      <w:pPr>
        <w:pStyle w:val="ListParagraph"/>
        <w:numPr>
          <w:ilvl w:val="0"/>
          <w:numId w:val="6"/>
        </w:numPr>
        <w:spacing w:after="160" w:line="240" w:lineRule="auto"/>
        <w:rPr>
          <w:rFonts w:ascii="Calibri" w:hAnsi="Calibri" w:cs="Calibri"/>
          <w:sz w:val="24"/>
          <w:szCs w:val="24"/>
        </w:rPr>
      </w:pPr>
      <w:r>
        <w:rPr>
          <w:rFonts w:ascii="Calibri" w:hAnsi="Calibri" w:cs="Calibri"/>
          <w:sz w:val="24"/>
          <w:szCs w:val="24"/>
        </w:rPr>
        <w:t>Identification of</w:t>
      </w:r>
      <w:r w:rsidR="00FA1AA2" w:rsidRPr="00D84FF4">
        <w:rPr>
          <w:rFonts w:ascii="Calibri" w:hAnsi="Calibri" w:cs="Calibri"/>
          <w:sz w:val="24"/>
          <w:szCs w:val="24"/>
        </w:rPr>
        <w:t xml:space="preserve"> the instruments and methods for the project evaluation including data analysis methods</w:t>
      </w:r>
      <w:r>
        <w:rPr>
          <w:rFonts w:ascii="Calibri" w:hAnsi="Calibri" w:cs="Calibri"/>
          <w:sz w:val="24"/>
          <w:szCs w:val="24"/>
        </w:rPr>
        <w:t>;</w:t>
      </w:r>
    </w:p>
    <w:p w:rsidR="00FA1AA2" w:rsidRPr="000231F4" w:rsidRDefault="000231F4" w:rsidP="00C65EA9">
      <w:pPr>
        <w:pStyle w:val="ListParagraph"/>
        <w:numPr>
          <w:ilvl w:val="0"/>
          <w:numId w:val="6"/>
        </w:numPr>
        <w:spacing w:after="160" w:line="240" w:lineRule="auto"/>
        <w:rPr>
          <w:rFonts w:ascii="Calibri" w:hAnsi="Calibri" w:cs="Calibri"/>
          <w:sz w:val="24"/>
          <w:szCs w:val="24"/>
        </w:rPr>
      </w:pPr>
      <w:r>
        <w:rPr>
          <w:rFonts w:ascii="Calibri" w:hAnsi="Calibri" w:cs="Calibri"/>
          <w:sz w:val="24"/>
          <w:szCs w:val="24"/>
        </w:rPr>
        <w:t>Demonstration of</w:t>
      </w:r>
      <w:r w:rsidR="00FA1AA2" w:rsidRPr="000231F4">
        <w:rPr>
          <w:rFonts w:ascii="Calibri" w:hAnsi="Calibri" w:cs="Calibri"/>
          <w:sz w:val="24"/>
          <w:szCs w:val="24"/>
        </w:rPr>
        <w:t xml:space="preserve"> si</w:t>
      </w:r>
      <w:r>
        <w:rPr>
          <w:rFonts w:ascii="Calibri" w:hAnsi="Calibri" w:cs="Calibri"/>
          <w:sz w:val="24"/>
          <w:szCs w:val="24"/>
        </w:rPr>
        <w:t xml:space="preserve">te visits and the use of surveys </w:t>
      </w:r>
      <w:r w:rsidR="00FA1AA2" w:rsidRPr="000231F4">
        <w:rPr>
          <w:rFonts w:ascii="Calibri" w:hAnsi="Calibri" w:cs="Calibri"/>
          <w:sz w:val="24"/>
          <w:szCs w:val="24"/>
        </w:rPr>
        <w:t>as part of the data collection</w:t>
      </w:r>
      <w:r>
        <w:rPr>
          <w:rFonts w:ascii="Calibri" w:hAnsi="Calibri" w:cs="Calibri"/>
          <w:sz w:val="24"/>
          <w:szCs w:val="24"/>
        </w:rPr>
        <w:t>;</w:t>
      </w:r>
    </w:p>
    <w:p w:rsidR="00FA1AA2" w:rsidRPr="00D84FF4" w:rsidRDefault="000231F4" w:rsidP="00C65EA9">
      <w:pPr>
        <w:pStyle w:val="ListParagraph"/>
        <w:numPr>
          <w:ilvl w:val="0"/>
          <w:numId w:val="6"/>
        </w:numPr>
        <w:spacing w:after="160" w:line="240" w:lineRule="auto"/>
        <w:rPr>
          <w:rFonts w:ascii="Calibri" w:hAnsi="Calibri" w:cs="Calibri"/>
          <w:sz w:val="24"/>
          <w:szCs w:val="24"/>
        </w:rPr>
      </w:pPr>
      <w:r>
        <w:rPr>
          <w:rFonts w:ascii="Calibri" w:hAnsi="Calibri" w:cs="Calibri"/>
          <w:sz w:val="24"/>
          <w:szCs w:val="24"/>
        </w:rPr>
        <w:t xml:space="preserve">The </w:t>
      </w:r>
      <w:r w:rsidR="00FA1AA2" w:rsidRPr="00D84FF4">
        <w:rPr>
          <w:rFonts w:ascii="Calibri" w:hAnsi="Calibri" w:cs="Calibri"/>
          <w:sz w:val="24"/>
          <w:szCs w:val="24"/>
        </w:rPr>
        <w:t>Four Leading indicators</w:t>
      </w:r>
      <w:r>
        <w:rPr>
          <w:rFonts w:ascii="Calibri" w:hAnsi="Calibri" w:cs="Calibri"/>
          <w:sz w:val="24"/>
          <w:szCs w:val="24"/>
        </w:rPr>
        <w:t>.</w:t>
      </w:r>
    </w:p>
    <w:p w:rsidR="00FA1AA2" w:rsidRPr="00BB0E18" w:rsidRDefault="00FA1AA2" w:rsidP="00917999">
      <w:pPr>
        <w:spacing w:after="0" w:line="240" w:lineRule="auto"/>
        <w:ind w:left="360"/>
        <w:contextualSpacing/>
        <w:rPr>
          <w:rFonts w:ascii="Calibri" w:hAnsi="Calibri" w:cs="Calibri"/>
          <w:b/>
          <w:sz w:val="24"/>
          <w:szCs w:val="24"/>
        </w:rPr>
      </w:pPr>
      <w:r w:rsidRPr="00BB0E18">
        <w:rPr>
          <w:rFonts w:ascii="Calibri" w:hAnsi="Calibri" w:cs="Calibri"/>
          <w:b/>
          <w:sz w:val="24"/>
          <w:szCs w:val="24"/>
        </w:rPr>
        <w:t>Recommended Format</w:t>
      </w:r>
      <w:r w:rsidR="000231F4">
        <w:rPr>
          <w:rFonts w:ascii="Calibri" w:hAnsi="Calibri" w:cs="Calibri"/>
          <w:b/>
          <w:sz w:val="24"/>
          <w:szCs w:val="24"/>
        </w:rPr>
        <w:t xml:space="preserve"> and Categories for Annual </w:t>
      </w:r>
      <w:r w:rsidRPr="00BB0E18">
        <w:rPr>
          <w:rFonts w:ascii="Calibri" w:hAnsi="Calibri" w:cs="Calibri"/>
          <w:b/>
          <w:sz w:val="24"/>
          <w:szCs w:val="24"/>
        </w:rPr>
        <w:t>Evaluation Report</w:t>
      </w:r>
    </w:p>
    <w:p w:rsidR="00FA1AA2" w:rsidRPr="00D84FF4" w:rsidRDefault="00FA1AA2" w:rsidP="00917999">
      <w:pPr>
        <w:pStyle w:val="ListParagraph"/>
        <w:numPr>
          <w:ilvl w:val="0"/>
          <w:numId w:val="12"/>
        </w:numPr>
        <w:spacing w:after="120" w:line="240" w:lineRule="auto"/>
        <w:rPr>
          <w:rFonts w:ascii="Calibri" w:hAnsi="Calibri" w:cs="Calibri"/>
          <w:sz w:val="24"/>
          <w:szCs w:val="24"/>
        </w:rPr>
      </w:pPr>
      <w:r w:rsidRPr="00D84FF4">
        <w:rPr>
          <w:rFonts w:ascii="Calibri" w:hAnsi="Calibri" w:cs="Calibri"/>
          <w:b/>
          <w:sz w:val="24"/>
          <w:szCs w:val="24"/>
        </w:rPr>
        <w:t>Summary:</w:t>
      </w:r>
      <w:r w:rsidRPr="00D84FF4">
        <w:rPr>
          <w:rFonts w:ascii="Calibri" w:hAnsi="Calibri" w:cs="Calibri"/>
          <w:sz w:val="24"/>
          <w:szCs w:val="24"/>
        </w:rPr>
        <w:t xml:space="preserve"> Includes background and overview on the grantee, sites, enrollment</w:t>
      </w:r>
    </w:p>
    <w:p w:rsidR="00FA1AA2" w:rsidRPr="00D84FF4" w:rsidRDefault="00FA1AA2" w:rsidP="00C65EA9">
      <w:pPr>
        <w:pStyle w:val="ListParagraph"/>
        <w:numPr>
          <w:ilvl w:val="0"/>
          <w:numId w:val="12"/>
        </w:numPr>
        <w:spacing w:after="160" w:line="240" w:lineRule="auto"/>
        <w:rPr>
          <w:rFonts w:ascii="Calibri" w:hAnsi="Calibri" w:cs="Calibri"/>
          <w:b/>
          <w:sz w:val="24"/>
          <w:szCs w:val="24"/>
        </w:rPr>
      </w:pPr>
      <w:r w:rsidRPr="00D84FF4">
        <w:rPr>
          <w:rFonts w:ascii="Calibri" w:hAnsi="Calibri" w:cs="Calibri"/>
          <w:b/>
          <w:sz w:val="24"/>
          <w:szCs w:val="24"/>
        </w:rPr>
        <w:t>Evaluation Process and Methodology</w:t>
      </w:r>
    </w:p>
    <w:p w:rsidR="000231F4" w:rsidRPr="000231F4" w:rsidRDefault="00FA1AA2" w:rsidP="00C65EA9">
      <w:pPr>
        <w:pStyle w:val="ListParagraph"/>
        <w:numPr>
          <w:ilvl w:val="0"/>
          <w:numId w:val="12"/>
        </w:numPr>
        <w:spacing w:after="160" w:line="240" w:lineRule="auto"/>
        <w:rPr>
          <w:rFonts w:ascii="Calibri" w:hAnsi="Calibri" w:cs="Calibri"/>
          <w:b/>
          <w:sz w:val="24"/>
          <w:szCs w:val="24"/>
        </w:rPr>
      </w:pPr>
      <w:r w:rsidRPr="000231F4">
        <w:rPr>
          <w:rFonts w:ascii="Calibri" w:hAnsi="Calibri" w:cs="Calibri"/>
          <w:b/>
          <w:sz w:val="24"/>
          <w:szCs w:val="24"/>
        </w:rPr>
        <w:t>Conclusions:</w:t>
      </w:r>
      <w:r w:rsidRPr="000231F4">
        <w:rPr>
          <w:rFonts w:ascii="Calibri" w:hAnsi="Calibri" w:cs="Calibri"/>
          <w:sz w:val="24"/>
          <w:szCs w:val="24"/>
        </w:rPr>
        <w:t xml:space="preserve"> Overa</w:t>
      </w:r>
      <w:r w:rsidR="00FE0A8E">
        <w:rPr>
          <w:rFonts w:ascii="Calibri" w:hAnsi="Calibri" w:cs="Calibri"/>
          <w:sz w:val="24"/>
          <w:szCs w:val="24"/>
        </w:rPr>
        <w:t>ll findings of the evaluation</w:t>
      </w:r>
    </w:p>
    <w:p w:rsidR="00FA1AA2" w:rsidRPr="000231F4" w:rsidRDefault="00FA1AA2" w:rsidP="00C65EA9">
      <w:pPr>
        <w:pStyle w:val="ListParagraph"/>
        <w:numPr>
          <w:ilvl w:val="0"/>
          <w:numId w:val="12"/>
        </w:numPr>
        <w:spacing w:after="160" w:line="240" w:lineRule="auto"/>
        <w:rPr>
          <w:rFonts w:ascii="Calibri" w:hAnsi="Calibri" w:cs="Calibri"/>
          <w:b/>
          <w:sz w:val="24"/>
          <w:szCs w:val="24"/>
        </w:rPr>
      </w:pPr>
      <w:r w:rsidRPr="000231F4">
        <w:rPr>
          <w:rFonts w:ascii="Calibri" w:hAnsi="Calibri" w:cs="Calibri"/>
          <w:b/>
          <w:sz w:val="24"/>
          <w:szCs w:val="24"/>
        </w:rPr>
        <w:t>Analysis of the Four Leading Indicators</w:t>
      </w:r>
      <w:r w:rsidR="000231F4" w:rsidRPr="000231F4">
        <w:rPr>
          <w:rFonts w:ascii="Calibri" w:hAnsi="Calibri" w:cs="Calibri"/>
          <w:sz w:val="24"/>
          <w:szCs w:val="24"/>
        </w:rPr>
        <w:t>: See table below</w:t>
      </w:r>
    </w:p>
    <w:p w:rsidR="00E77BC2" w:rsidRPr="00E77BC2" w:rsidRDefault="000231F4" w:rsidP="00C65EA9">
      <w:pPr>
        <w:pStyle w:val="ListParagraph"/>
        <w:numPr>
          <w:ilvl w:val="0"/>
          <w:numId w:val="12"/>
        </w:numPr>
        <w:spacing w:line="240" w:lineRule="auto"/>
        <w:rPr>
          <w:rFonts w:ascii="Calibri" w:hAnsi="Calibri" w:cs="Calibri"/>
          <w:b/>
          <w:sz w:val="24"/>
          <w:szCs w:val="24"/>
        </w:rPr>
      </w:pPr>
      <w:r>
        <w:rPr>
          <w:rFonts w:ascii="Calibri" w:hAnsi="Calibri" w:cs="Calibri"/>
          <w:b/>
          <w:sz w:val="24"/>
          <w:szCs w:val="24"/>
        </w:rPr>
        <w:t>Supporting Documents:</w:t>
      </w:r>
      <w:r>
        <w:rPr>
          <w:rFonts w:ascii="Calibri" w:hAnsi="Calibri" w:cs="Calibri"/>
          <w:sz w:val="24"/>
          <w:szCs w:val="24"/>
        </w:rPr>
        <w:t xml:space="preserve"> S</w:t>
      </w:r>
      <w:r w:rsidR="00E77BC2" w:rsidRPr="00E77BC2">
        <w:rPr>
          <w:rFonts w:ascii="Calibri" w:hAnsi="Calibri" w:cs="Calibri"/>
          <w:sz w:val="24"/>
          <w:szCs w:val="24"/>
        </w:rPr>
        <w:t>urvey tools, results, APR data used for the evaluation</w:t>
      </w:r>
    </w:p>
    <w:tbl>
      <w:tblPr>
        <w:tblStyle w:val="GridTable4-Accent1"/>
        <w:tblW w:w="9625" w:type="dxa"/>
        <w:jc w:val="center"/>
        <w:tblLook w:val="04A0" w:firstRow="1" w:lastRow="0" w:firstColumn="1" w:lastColumn="0" w:noHBand="0" w:noVBand="1"/>
      </w:tblPr>
      <w:tblGrid>
        <w:gridCol w:w="2245"/>
        <w:gridCol w:w="7380"/>
      </w:tblGrid>
      <w:tr w:rsidR="00BB0E18" w:rsidTr="00DC4211">
        <w:trPr>
          <w:cnfStyle w:val="100000000000" w:firstRow="1" w:lastRow="0" w:firstColumn="0" w:lastColumn="0" w:oddVBand="0" w:evenVBand="0" w:oddHBand="0"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rsidR="00BB0E18" w:rsidRDefault="00BB0E18" w:rsidP="00FE0A8E">
            <w:pPr>
              <w:spacing w:after="120" w:line="259" w:lineRule="auto"/>
              <w:jc w:val="center"/>
              <w:rPr>
                <w:rFonts w:ascii="Calibri" w:hAnsi="Calibri" w:cs="Calibri"/>
                <w:b w:val="0"/>
                <w:sz w:val="24"/>
                <w:szCs w:val="24"/>
              </w:rPr>
            </w:pPr>
            <w:r>
              <w:rPr>
                <w:rFonts w:ascii="Calibri" w:hAnsi="Calibri" w:cs="Calibri"/>
                <w:b w:val="0"/>
                <w:sz w:val="24"/>
                <w:szCs w:val="24"/>
              </w:rPr>
              <w:t>Four Leading Indicators</w:t>
            </w:r>
          </w:p>
        </w:tc>
        <w:tc>
          <w:tcPr>
            <w:tcW w:w="7380" w:type="dxa"/>
            <w:vAlign w:val="center"/>
          </w:tcPr>
          <w:p w:rsidR="00BB0E18" w:rsidRDefault="00E77BC2" w:rsidP="000231F4">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r>
              <w:rPr>
                <w:rFonts w:ascii="Calibri" w:hAnsi="Calibri" w:cs="Calibri"/>
                <w:b w:val="0"/>
                <w:sz w:val="24"/>
                <w:szCs w:val="24"/>
              </w:rPr>
              <w:t>Definition</w:t>
            </w:r>
          </w:p>
        </w:tc>
      </w:tr>
      <w:tr w:rsidR="00BB0E18" w:rsidTr="00DC42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rsidR="00BB0E18" w:rsidRPr="00C56496" w:rsidRDefault="00BB0E18" w:rsidP="00E77BC2">
            <w:pPr>
              <w:pStyle w:val="ListParagraph"/>
              <w:numPr>
                <w:ilvl w:val="0"/>
                <w:numId w:val="22"/>
              </w:numPr>
              <w:spacing w:after="160" w:line="259" w:lineRule="auto"/>
              <w:rPr>
                <w:rFonts w:ascii="Calibri" w:hAnsi="Calibri" w:cs="Calibri"/>
                <w:sz w:val="23"/>
                <w:szCs w:val="23"/>
              </w:rPr>
            </w:pPr>
            <w:r w:rsidRPr="00C56496">
              <w:rPr>
                <w:rFonts w:ascii="Calibri" w:hAnsi="Calibri" w:cs="Calibri"/>
                <w:sz w:val="23"/>
                <w:szCs w:val="23"/>
              </w:rPr>
              <w:t>Collaboration and leadership</w:t>
            </w:r>
          </w:p>
          <w:p w:rsidR="00BB0E18" w:rsidRPr="00C56496" w:rsidRDefault="00BB0E18" w:rsidP="00BB0E18">
            <w:pPr>
              <w:spacing w:after="160" w:line="259" w:lineRule="auto"/>
              <w:rPr>
                <w:rFonts w:ascii="Calibri" w:hAnsi="Calibri" w:cs="Calibri"/>
                <w:b w:val="0"/>
                <w:sz w:val="23"/>
                <w:szCs w:val="23"/>
              </w:rPr>
            </w:pPr>
          </w:p>
        </w:tc>
        <w:tc>
          <w:tcPr>
            <w:tcW w:w="7380" w:type="dxa"/>
          </w:tcPr>
          <w:p w:rsidR="00BB0E18" w:rsidRPr="00C56496" w:rsidRDefault="00BB0E18" w:rsidP="00E77BC2">
            <w:pPr>
              <w:pStyle w:val="Default"/>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C56496">
              <w:rPr>
                <w:rFonts w:ascii="Calibri" w:hAnsi="Calibri" w:cs="Calibri"/>
                <w:sz w:val="23"/>
                <w:szCs w:val="23"/>
              </w:rPr>
              <w:t xml:space="preserve">Partners associated with the center are actively involved in planning, decision making, evaluating, and supporting the operations of the afterschool program. </w:t>
            </w:r>
          </w:p>
          <w:p w:rsidR="00BB0E18" w:rsidRPr="00C56496" w:rsidRDefault="00BB0E18" w:rsidP="00E77BC2">
            <w:pPr>
              <w:pStyle w:val="Default"/>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C56496">
              <w:rPr>
                <w:rFonts w:ascii="Calibri" w:hAnsi="Calibri" w:cs="Calibri"/>
                <w:sz w:val="23"/>
                <w:szCs w:val="23"/>
              </w:rPr>
              <w:t xml:space="preserve">Staff from partner organizations is meaningfully involved in the provision of activities at the center. </w:t>
            </w:r>
          </w:p>
          <w:p w:rsidR="00BB0E18" w:rsidRPr="00C56496" w:rsidRDefault="00BB0E18" w:rsidP="00E77BC2">
            <w:pPr>
              <w:pStyle w:val="Default"/>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C56496">
              <w:rPr>
                <w:rFonts w:ascii="Calibri" w:hAnsi="Calibri" w:cs="Calibri"/>
                <w:sz w:val="23"/>
                <w:szCs w:val="23"/>
              </w:rPr>
              <w:t xml:space="preserve">Staff at the center will be engaged in intentional efforts to collaborate and communicate frequently about ways to improve program quality. </w:t>
            </w:r>
          </w:p>
          <w:p w:rsidR="00BB0E18" w:rsidRPr="00C56496" w:rsidRDefault="00BB0E18" w:rsidP="00FE0A8E">
            <w:pPr>
              <w:pStyle w:val="Default"/>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C56496">
              <w:rPr>
                <w:rFonts w:ascii="Calibri" w:hAnsi="Calibri" w:cs="Calibri"/>
                <w:sz w:val="23"/>
                <w:szCs w:val="23"/>
              </w:rPr>
              <w:t xml:space="preserve">Steps are taken by the center to establish linkages to the school day and use data on student academic achievement to inform programming. </w:t>
            </w:r>
          </w:p>
        </w:tc>
      </w:tr>
      <w:tr w:rsidR="00BB0E18" w:rsidTr="00DC4211">
        <w:trPr>
          <w:jc w:val="center"/>
        </w:trPr>
        <w:tc>
          <w:tcPr>
            <w:cnfStyle w:val="001000000000" w:firstRow="0" w:lastRow="0" w:firstColumn="1" w:lastColumn="0" w:oddVBand="0" w:evenVBand="0" w:oddHBand="0" w:evenHBand="0" w:firstRowFirstColumn="0" w:firstRowLastColumn="0" w:lastRowFirstColumn="0" w:lastRowLastColumn="0"/>
            <w:tcW w:w="2245" w:type="dxa"/>
          </w:tcPr>
          <w:p w:rsidR="00BB0E18" w:rsidRPr="00C56496" w:rsidRDefault="00E77BC2" w:rsidP="00E77BC2">
            <w:pPr>
              <w:pStyle w:val="ListParagraph"/>
              <w:numPr>
                <w:ilvl w:val="0"/>
                <w:numId w:val="22"/>
              </w:numPr>
              <w:spacing w:after="160" w:line="259" w:lineRule="auto"/>
              <w:rPr>
                <w:rFonts w:ascii="Calibri" w:hAnsi="Calibri" w:cs="Calibri"/>
                <w:sz w:val="23"/>
                <w:szCs w:val="23"/>
              </w:rPr>
            </w:pPr>
            <w:r w:rsidRPr="00C56496">
              <w:rPr>
                <w:rFonts w:ascii="Calibri" w:hAnsi="Calibri" w:cs="Calibri"/>
                <w:sz w:val="23"/>
                <w:szCs w:val="23"/>
              </w:rPr>
              <w:t>Staff</w:t>
            </w:r>
          </w:p>
        </w:tc>
        <w:tc>
          <w:tcPr>
            <w:tcW w:w="7380" w:type="dxa"/>
          </w:tcPr>
          <w:p w:rsidR="00E77BC2" w:rsidRPr="00C56496" w:rsidRDefault="00E77BC2" w:rsidP="00E77BC2">
            <w:pPr>
              <w:pStyle w:val="Default"/>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C56496">
              <w:rPr>
                <w:rFonts w:ascii="Calibri" w:hAnsi="Calibri" w:cs="Calibri"/>
                <w:sz w:val="23"/>
                <w:szCs w:val="23"/>
              </w:rPr>
              <w:t xml:space="preserve">Staff at the center is provided with training and/or professional development. </w:t>
            </w:r>
          </w:p>
          <w:p w:rsidR="00E77BC2" w:rsidRPr="00C56496" w:rsidRDefault="00E77BC2" w:rsidP="00E77BC2">
            <w:pPr>
              <w:pStyle w:val="Default"/>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C56496">
              <w:rPr>
                <w:rFonts w:ascii="Calibri" w:hAnsi="Calibri" w:cs="Calibri"/>
                <w:sz w:val="23"/>
                <w:szCs w:val="23"/>
              </w:rPr>
              <w:t xml:space="preserve">Staff at the center completes one or more self-assessment during the programming period. </w:t>
            </w:r>
          </w:p>
          <w:p w:rsidR="00BB0E18" w:rsidRPr="00C56496" w:rsidRDefault="00E77BC2" w:rsidP="00E77BC2">
            <w:pPr>
              <w:pStyle w:val="Default"/>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C56496">
              <w:rPr>
                <w:rFonts w:ascii="Calibri" w:hAnsi="Calibri" w:cs="Calibri"/>
                <w:sz w:val="23"/>
                <w:szCs w:val="23"/>
              </w:rPr>
              <w:t xml:space="preserve">Staff at the center is periodically evaluated/assessed during the program period. </w:t>
            </w:r>
          </w:p>
        </w:tc>
      </w:tr>
      <w:tr w:rsidR="00E77BC2" w:rsidTr="00DC42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rsidR="00E77BC2" w:rsidRPr="00C56496" w:rsidRDefault="00077314" w:rsidP="00E77BC2">
            <w:pPr>
              <w:pStyle w:val="ListParagraph"/>
              <w:numPr>
                <w:ilvl w:val="0"/>
                <w:numId w:val="22"/>
              </w:numPr>
              <w:spacing w:after="160" w:line="259" w:lineRule="auto"/>
              <w:rPr>
                <w:rFonts w:ascii="Calibri" w:hAnsi="Calibri" w:cs="Calibri"/>
                <w:sz w:val="23"/>
                <w:szCs w:val="23"/>
              </w:rPr>
            </w:pPr>
            <w:r>
              <w:rPr>
                <w:rFonts w:ascii="Calibri" w:hAnsi="Calibri" w:cs="Calibri"/>
                <w:b w:val="0"/>
                <w:sz w:val="23"/>
                <w:szCs w:val="23"/>
              </w:rPr>
              <w:t>I</w:t>
            </w:r>
            <w:r w:rsidR="00E77BC2" w:rsidRPr="00C56496">
              <w:rPr>
                <w:rFonts w:ascii="Calibri" w:hAnsi="Calibri" w:cs="Calibri"/>
                <w:sz w:val="23"/>
                <w:szCs w:val="23"/>
              </w:rPr>
              <w:t>ntentionality in Student Program Offerings</w:t>
            </w:r>
          </w:p>
        </w:tc>
        <w:tc>
          <w:tcPr>
            <w:tcW w:w="7380" w:type="dxa"/>
          </w:tcPr>
          <w:p w:rsidR="00E77BC2" w:rsidRPr="00C56496" w:rsidRDefault="00E77BC2" w:rsidP="00E77BC2">
            <w:pPr>
              <w:pStyle w:val="Default"/>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C56496">
              <w:rPr>
                <w:rFonts w:ascii="Calibri" w:hAnsi="Calibri" w:cs="Calibri"/>
                <w:sz w:val="23"/>
                <w:szCs w:val="23"/>
              </w:rPr>
              <w:t xml:space="preserve">There is evidence of alignment between (a) program objectives relative to supporting youth development, (b) student needs, and (c) program philosophy/model AND frequency/extent to which key opportunities and supports are provided to youth. </w:t>
            </w:r>
          </w:p>
          <w:p w:rsidR="00E77BC2" w:rsidRPr="00C56496" w:rsidRDefault="00E77BC2" w:rsidP="00E77BC2">
            <w:pPr>
              <w:pStyle w:val="Default"/>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C56496">
              <w:rPr>
                <w:rFonts w:ascii="Calibri" w:hAnsi="Calibri" w:cs="Calibri"/>
                <w:sz w:val="23"/>
                <w:szCs w:val="23"/>
              </w:rPr>
              <w:t xml:space="preserve">There is evidence of alignment between(a) program objectives relative to the academic development of students, (b) student needs, and (c) program philosophy/model AND activities being provided at the center. </w:t>
            </w:r>
          </w:p>
          <w:p w:rsidR="00E77BC2" w:rsidRPr="00C56496" w:rsidRDefault="00E77BC2" w:rsidP="00FE0A8E">
            <w:pPr>
              <w:pStyle w:val="Default"/>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C56496">
              <w:rPr>
                <w:rFonts w:ascii="Calibri" w:hAnsi="Calibri" w:cs="Calibri"/>
                <w:sz w:val="23"/>
                <w:szCs w:val="23"/>
              </w:rPr>
              <w:t xml:space="preserve">Intentionality in activity and session design among staff responsible for the delivery of activities meant to support student growth and development in mathematics and reading/language arts. </w:t>
            </w:r>
          </w:p>
        </w:tc>
      </w:tr>
      <w:tr w:rsidR="00E77BC2" w:rsidTr="00DC4211">
        <w:trPr>
          <w:jc w:val="center"/>
        </w:trPr>
        <w:tc>
          <w:tcPr>
            <w:cnfStyle w:val="001000000000" w:firstRow="0" w:lastRow="0" w:firstColumn="1" w:lastColumn="0" w:oddVBand="0" w:evenVBand="0" w:oddHBand="0" w:evenHBand="0" w:firstRowFirstColumn="0" w:firstRowLastColumn="0" w:lastRowFirstColumn="0" w:lastRowLastColumn="0"/>
            <w:tcW w:w="2245" w:type="dxa"/>
          </w:tcPr>
          <w:p w:rsidR="00E77BC2" w:rsidRPr="00C56496" w:rsidRDefault="00E77BC2" w:rsidP="00E77BC2">
            <w:pPr>
              <w:pStyle w:val="ListParagraph"/>
              <w:numPr>
                <w:ilvl w:val="0"/>
                <w:numId w:val="11"/>
              </w:numPr>
              <w:spacing w:after="160" w:line="259" w:lineRule="auto"/>
              <w:ind w:left="360"/>
              <w:rPr>
                <w:rFonts w:ascii="Calibri" w:hAnsi="Calibri" w:cs="Calibri"/>
                <w:b w:val="0"/>
                <w:sz w:val="23"/>
                <w:szCs w:val="23"/>
              </w:rPr>
            </w:pPr>
            <w:r w:rsidRPr="00C56496">
              <w:rPr>
                <w:rFonts w:ascii="Calibri" w:hAnsi="Calibri" w:cs="Calibri"/>
                <w:sz w:val="23"/>
                <w:szCs w:val="23"/>
              </w:rPr>
              <w:t>Intentionality in Family Program Offerings</w:t>
            </w:r>
          </w:p>
          <w:p w:rsidR="00E77BC2" w:rsidRPr="00C56496" w:rsidRDefault="00E77BC2" w:rsidP="00BB0E18">
            <w:pPr>
              <w:spacing w:after="160" w:line="259" w:lineRule="auto"/>
              <w:rPr>
                <w:rFonts w:ascii="Calibri" w:hAnsi="Calibri" w:cs="Calibri"/>
                <w:b w:val="0"/>
                <w:sz w:val="23"/>
                <w:szCs w:val="23"/>
              </w:rPr>
            </w:pPr>
          </w:p>
        </w:tc>
        <w:tc>
          <w:tcPr>
            <w:tcW w:w="7380" w:type="dxa"/>
          </w:tcPr>
          <w:p w:rsidR="00E77BC2" w:rsidRPr="00C56496" w:rsidRDefault="00E77BC2" w:rsidP="00D27E9E">
            <w:pPr>
              <w:pStyle w:val="Default"/>
              <w:numPr>
                <w:ilvl w:val="0"/>
                <w:numId w:val="23"/>
              </w:numPr>
              <w:ind w:left="348"/>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C56496">
              <w:rPr>
                <w:rFonts w:ascii="Calibri" w:hAnsi="Calibri" w:cs="Calibri"/>
                <w:sz w:val="23"/>
                <w:szCs w:val="23"/>
              </w:rPr>
              <w:t xml:space="preserve">Steps are taken by the center to reach out and communicate with parents and adult family members of participating students. </w:t>
            </w:r>
          </w:p>
          <w:p w:rsidR="00E77BC2" w:rsidRPr="00C56496" w:rsidRDefault="00E77BC2" w:rsidP="00D27E9E">
            <w:pPr>
              <w:pStyle w:val="ListParagraph"/>
              <w:numPr>
                <w:ilvl w:val="0"/>
                <w:numId w:val="23"/>
              </w:numPr>
              <w:spacing w:line="259" w:lineRule="auto"/>
              <w:ind w:left="348"/>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C56496">
              <w:rPr>
                <w:rFonts w:ascii="Calibri" w:hAnsi="Calibri" w:cs="Calibri"/>
                <w:sz w:val="23"/>
                <w:szCs w:val="23"/>
              </w:rPr>
              <w:t>There is evidence of alignment between (a) program objectives relative to supporting family literacy and related development, (b) family needs, and(c) program philosophy/ model AND activities being provided at the center.</w:t>
            </w:r>
          </w:p>
        </w:tc>
      </w:tr>
    </w:tbl>
    <w:p w:rsidR="00656EE0" w:rsidRDefault="00656EE0" w:rsidP="00382DE1">
      <w:pPr>
        <w:pStyle w:val="ListParagraph"/>
        <w:numPr>
          <w:ilvl w:val="0"/>
          <w:numId w:val="26"/>
        </w:numPr>
        <w:shd w:val="clear" w:color="auto" w:fill="FFFFFF"/>
        <w:spacing w:before="200" w:after="0" w:line="240" w:lineRule="auto"/>
        <w:outlineLvl w:val="1"/>
        <w:rPr>
          <w:rFonts w:cstheme="minorHAnsi"/>
          <w:b/>
          <w:color w:val="000000" w:themeColor="text1"/>
          <w:sz w:val="24"/>
          <w:szCs w:val="24"/>
          <w:u w:val="single"/>
        </w:rPr>
      </w:pPr>
      <w:r>
        <w:rPr>
          <w:rFonts w:cstheme="minorHAnsi"/>
          <w:b/>
          <w:color w:val="000000" w:themeColor="text1"/>
          <w:sz w:val="24"/>
          <w:szCs w:val="24"/>
          <w:u w:val="single"/>
        </w:rPr>
        <w:t>Five (5) Year Summary</w:t>
      </w:r>
    </w:p>
    <w:p w:rsidR="00656EE0" w:rsidRPr="00D84FF4" w:rsidRDefault="00656EE0" w:rsidP="00382DE1">
      <w:pPr>
        <w:spacing w:after="120" w:line="240" w:lineRule="auto"/>
        <w:rPr>
          <w:rFonts w:ascii="Calibri" w:hAnsi="Calibri" w:cs="Calibri"/>
          <w:sz w:val="24"/>
          <w:szCs w:val="24"/>
        </w:rPr>
      </w:pPr>
      <w:r w:rsidRPr="00D84FF4">
        <w:rPr>
          <w:rFonts w:ascii="Calibri" w:hAnsi="Calibri" w:cs="Calibri"/>
          <w:sz w:val="24"/>
          <w:szCs w:val="24"/>
        </w:rPr>
        <w:t>This</w:t>
      </w:r>
      <w:r w:rsidR="001911C0">
        <w:rPr>
          <w:rFonts w:ascii="Calibri" w:hAnsi="Calibri" w:cs="Calibri"/>
          <w:sz w:val="24"/>
          <w:szCs w:val="24"/>
        </w:rPr>
        <w:t xml:space="preserve"> summary can be included in the Annual E</w:t>
      </w:r>
      <w:r w:rsidRPr="00D84FF4">
        <w:rPr>
          <w:rFonts w:ascii="Calibri" w:hAnsi="Calibri" w:cs="Calibri"/>
          <w:sz w:val="24"/>
          <w:szCs w:val="24"/>
        </w:rPr>
        <w:t>valuation or a</w:t>
      </w:r>
      <w:r w:rsidR="001911C0">
        <w:rPr>
          <w:rFonts w:ascii="Calibri" w:hAnsi="Calibri" w:cs="Calibri"/>
          <w:sz w:val="24"/>
          <w:szCs w:val="24"/>
        </w:rPr>
        <w:t>s a</w:t>
      </w:r>
      <w:r w:rsidRPr="00D84FF4">
        <w:rPr>
          <w:rFonts w:ascii="Calibri" w:hAnsi="Calibri" w:cs="Calibri"/>
          <w:sz w:val="24"/>
          <w:szCs w:val="24"/>
        </w:rPr>
        <w:t xml:space="preserve"> separate document</w:t>
      </w:r>
      <w:r w:rsidR="001911C0">
        <w:rPr>
          <w:rFonts w:ascii="Calibri" w:hAnsi="Calibri" w:cs="Calibri"/>
          <w:sz w:val="24"/>
          <w:szCs w:val="24"/>
        </w:rPr>
        <w:t>. The ODE is</w:t>
      </w:r>
      <w:r w:rsidRPr="00D84FF4">
        <w:rPr>
          <w:rFonts w:ascii="Calibri" w:hAnsi="Calibri" w:cs="Calibri"/>
          <w:sz w:val="24"/>
          <w:szCs w:val="24"/>
        </w:rPr>
        <w:t xml:space="preserve"> not looking for a lengthy report</w:t>
      </w:r>
      <w:r w:rsidR="001911C0">
        <w:rPr>
          <w:rFonts w:ascii="Calibri" w:hAnsi="Calibri" w:cs="Calibri"/>
          <w:sz w:val="24"/>
          <w:szCs w:val="24"/>
        </w:rPr>
        <w:t xml:space="preserve">, approximately 2-3 pages. </w:t>
      </w:r>
      <w:r w:rsidRPr="00D84FF4">
        <w:rPr>
          <w:rFonts w:ascii="Calibri" w:hAnsi="Calibri" w:cs="Calibri"/>
          <w:sz w:val="24"/>
          <w:szCs w:val="24"/>
        </w:rPr>
        <w:t>The five-year summary shall include but not be limited to:</w:t>
      </w:r>
    </w:p>
    <w:p w:rsidR="00656EE0" w:rsidRPr="00D84FF4" w:rsidRDefault="00656EE0" w:rsidP="00C65EA9">
      <w:pPr>
        <w:pStyle w:val="ListParagraph"/>
        <w:numPr>
          <w:ilvl w:val="0"/>
          <w:numId w:val="27"/>
        </w:numPr>
        <w:spacing w:after="160" w:line="240" w:lineRule="auto"/>
        <w:rPr>
          <w:rFonts w:ascii="Calibri" w:hAnsi="Calibri" w:cs="Calibri"/>
          <w:sz w:val="24"/>
          <w:szCs w:val="24"/>
        </w:rPr>
      </w:pPr>
      <w:r w:rsidRPr="00D84FF4">
        <w:rPr>
          <w:rFonts w:ascii="Calibri" w:hAnsi="Calibri" w:cs="Calibri"/>
          <w:sz w:val="24"/>
          <w:szCs w:val="24"/>
        </w:rPr>
        <w:t>Summative analysis/reflection of the past 5 years</w:t>
      </w:r>
    </w:p>
    <w:p w:rsidR="00656EE0" w:rsidRPr="00D84FF4" w:rsidRDefault="00656EE0" w:rsidP="00C65EA9">
      <w:pPr>
        <w:pStyle w:val="ListParagraph"/>
        <w:numPr>
          <w:ilvl w:val="0"/>
          <w:numId w:val="27"/>
        </w:numPr>
        <w:spacing w:after="160" w:line="240" w:lineRule="auto"/>
        <w:rPr>
          <w:rFonts w:ascii="Calibri" w:hAnsi="Calibri" w:cs="Calibri"/>
          <w:sz w:val="24"/>
          <w:szCs w:val="24"/>
        </w:rPr>
      </w:pPr>
      <w:r w:rsidRPr="00D84FF4">
        <w:rPr>
          <w:rFonts w:ascii="Calibri" w:hAnsi="Calibri" w:cs="Calibri"/>
          <w:sz w:val="24"/>
          <w:szCs w:val="24"/>
        </w:rPr>
        <w:t>Significant learning and changes that were made to create a quality program</w:t>
      </w:r>
    </w:p>
    <w:p w:rsidR="00656EE0" w:rsidRPr="00D84FF4" w:rsidRDefault="00656EE0" w:rsidP="00C65EA9">
      <w:pPr>
        <w:pStyle w:val="ListParagraph"/>
        <w:numPr>
          <w:ilvl w:val="0"/>
          <w:numId w:val="27"/>
        </w:numPr>
        <w:spacing w:after="160" w:line="240" w:lineRule="auto"/>
        <w:rPr>
          <w:rFonts w:ascii="Calibri" w:hAnsi="Calibri" w:cs="Calibri"/>
          <w:sz w:val="24"/>
          <w:szCs w:val="24"/>
        </w:rPr>
      </w:pPr>
      <w:r w:rsidRPr="00D84FF4">
        <w:rPr>
          <w:rFonts w:ascii="Calibri" w:hAnsi="Calibri" w:cs="Calibri"/>
          <w:sz w:val="24"/>
          <w:szCs w:val="24"/>
        </w:rPr>
        <w:t>Challenges and Successes during the 5 years</w:t>
      </w:r>
    </w:p>
    <w:p w:rsidR="00A94A8A" w:rsidRPr="00A94A8A" w:rsidRDefault="00656EE0" w:rsidP="00A94A8A">
      <w:pPr>
        <w:pStyle w:val="ListParagraph"/>
        <w:numPr>
          <w:ilvl w:val="0"/>
          <w:numId w:val="27"/>
        </w:numPr>
        <w:spacing w:after="240" w:line="240" w:lineRule="auto"/>
        <w:rPr>
          <w:rFonts w:ascii="Calibri" w:hAnsi="Calibri" w:cs="Calibri"/>
          <w:sz w:val="24"/>
          <w:szCs w:val="24"/>
        </w:rPr>
      </w:pPr>
      <w:r w:rsidRPr="00D84FF4">
        <w:rPr>
          <w:rFonts w:ascii="Calibri" w:hAnsi="Calibri" w:cs="Calibri"/>
          <w:sz w:val="24"/>
          <w:szCs w:val="24"/>
        </w:rPr>
        <w:t>Overall Impact on Students. If you have supporting data to this response, please include.</w:t>
      </w:r>
    </w:p>
    <w:p w:rsidR="00382DE1" w:rsidRPr="00382DE1" w:rsidRDefault="00382DE1" w:rsidP="00382DE1">
      <w:pPr>
        <w:pStyle w:val="ListParagraph"/>
        <w:spacing w:after="240" w:line="240" w:lineRule="auto"/>
        <w:ind w:left="1440"/>
        <w:rPr>
          <w:rFonts w:ascii="Calibri" w:hAnsi="Calibri" w:cs="Calibri"/>
          <w:sz w:val="10"/>
          <w:szCs w:val="24"/>
        </w:rPr>
      </w:pPr>
    </w:p>
    <w:p w:rsidR="00656EE0" w:rsidRDefault="00656EE0" w:rsidP="00382DE1">
      <w:pPr>
        <w:pStyle w:val="ListParagraph"/>
        <w:numPr>
          <w:ilvl w:val="0"/>
          <w:numId w:val="26"/>
        </w:numPr>
        <w:shd w:val="clear" w:color="auto" w:fill="FFFFFF"/>
        <w:spacing w:before="200" w:after="0" w:line="240" w:lineRule="auto"/>
        <w:outlineLvl w:val="1"/>
        <w:rPr>
          <w:rFonts w:cstheme="minorHAnsi"/>
          <w:b/>
          <w:color w:val="000000" w:themeColor="text1"/>
          <w:sz w:val="24"/>
          <w:szCs w:val="24"/>
          <w:u w:val="single"/>
        </w:rPr>
      </w:pPr>
      <w:r>
        <w:rPr>
          <w:rFonts w:cstheme="minorHAnsi"/>
          <w:b/>
          <w:color w:val="000000" w:themeColor="text1"/>
          <w:sz w:val="24"/>
          <w:szCs w:val="24"/>
          <w:u w:val="single"/>
        </w:rPr>
        <w:t>End-of-Year Report</w:t>
      </w:r>
    </w:p>
    <w:p w:rsidR="001911C0" w:rsidRDefault="005B73C7" w:rsidP="00382DE1">
      <w:pPr>
        <w:shd w:val="clear" w:color="auto" w:fill="FFFFFF"/>
        <w:spacing w:after="100" w:line="240" w:lineRule="auto"/>
        <w:outlineLvl w:val="1"/>
        <w:rPr>
          <w:rFonts w:cstheme="minorHAnsi"/>
          <w:color w:val="000000" w:themeColor="text1"/>
          <w:sz w:val="24"/>
          <w:szCs w:val="24"/>
        </w:rPr>
      </w:pPr>
      <w:r>
        <w:rPr>
          <w:rFonts w:cstheme="minorHAnsi"/>
          <w:color w:val="000000" w:themeColor="text1"/>
          <w:sz w:val="24"/>
          <w:szCs w:val="24"/>
        </w:rPr>
        <w:t xml:space="preserve">Each Center/Site in your program must complete this report. </w:t>
      </w:r>
      <w:r w:rsidR="005E53A1">
        <w:rPr>
          <w:rFonts w:cstheme="minorHAnsi"/>
          <w:color w:val="000000" w:themeColor="text1"/>
          <w:sz w:val="24"/>
          <w:szCs w:val="24"/>
        </w:rPr>
        <w:t>Please duplicate this report for each of your Centers/Sites.</w:t>
      </w:r>
      <w:r>
        <w:rPr>
          <w:rFonts w:cstheme="minorHAnsi"/>
          <w:color w:val="000000" w:themeColor="text1"/>
          <w:sz w:val="24"/>
          <w:szCs w:val="24"/>
        </w:rPr>
        <w:t xml:space="preserve"> </w:t>
      </w:r>
      <w:r w:rsidR="005E53A1">
        <w:rPr>
          <w:rFonts w:cstheme="minorHAnsi"/>
          <w:color w:val="000000" w:themeColor="text1"/>
          <w:sz w:val="24"/>
          <w:szCs w:val="24"/>
        </w:rPr>
        <w:t xml:space="preserve">End-of-Year </w:t>
      </w:r>
      <w:r>
        <w:rPr>
          <w:rFonts w:cstheme="minorHAnsi"/>
          <w:color w:val="000000" w:themeColor="text1"/>
          <w:sz w:val="24"/>
          <w:szCs w:val="24"/>
        </w:rPr>
        <w:t>report</w:t>
      </w:r>
      <w:r w:rsidR="005E53A1">
        <w:rPr>
          <w:rFonts w:cstheme="minorHAnsi"/>
          <w:color w:val="000000" w:themeColor="text1"/>
          <w:sz w:val="24"/>
          <w:szCs w:val="24"/>
        </w:rPr>
        <w:t>s</w:t>
      </w:r>
      <w:r>
        <w:rPr>
          <w:rFonts w:cstheme="minorHAnsi"/>
          <w:color w:val="000000" w:themeColor="text1"/>
          <w:sz w:val="24"/>
          <w:szCs w:val="24"/>
        </w:rPr>
        <w:t xml:space="preserve"> must be submitted using the Excel document sent via email</w:t>
      </w:r>
      <w:r w:rsidR="00077314">
        <w:rPr>
          <w:rFonts w:cstheme="minorHAnsi"/>
          <w:color w:val="000000" w:themeColor="text1"/>
          <w:sz w:val="24"/>
          <w:szCs w:val="24"/>
        </w:rPr>
        <w:t>. (See Excel template attachment)</w:t>
      </w:r>
    </w:p>
    <w:p w:rsidR="00A94A8A" w:rsidRPr="001911C0" w:rsidRDefault="00A94A8A" w:rsidP="00382DE1">
      <w:pPr>
        <w:shd w:val="clear" w:color="auto" w:fill="FFFFFF"/>
        <w:spacing w:after="100" w:line="240" w:lineRule="auto"/>
        <w:outlineLvl w:val="1"/>
        <w:rPr>
          <w:rFonts w:cstheme="minorHAnsi"/>
          <w:color w:val="000000" w:themeColor="text1"/>
          <w:sz w:val="24"/>
          <w:szCs w:val="24"/>
        </w:rPr>
      </w:pPr>
    </w:p>
    <w:p w:rsidR="00382DE1" w:rsidRPr="00382DE1" w:rsidRDefault="005E53A1" w:rsidP="00382DE1">
      <w:pPr>
        <w:pStyle w:val="ListParagraph"/>
        <w:numPr>
          <w:ilvl w:val="0"/>
          <w:numId w:val="26"/>
        </w:numPr>
        <w:shd w:val="clear" w:color="auto" w:fill="FFFFFF"/>
        <w:spacing w:after="0" w:line="240" w:lineRule="auto"/>
        <w:outlineLvl w:val="1"/>
        <w:rPr>
          <w:rFonts w:cstheme="minorHAnsi"/>
          <w:b/>
          <w:color w:val="000000" w:themeColor="text1"/>
          <w:sz w:val="24"/>
          <w:szCs w:val="24"/>
          <w:u w:val="single"/>
        </w:rPr>
      </w:pPr>
      <w:r>
        <w:rPr>
          <w:rFonts w:cstheme="minorHAnsi"/>
          <w:b/>
          <w:color w:val="000000" w:themeColor="text1"/>
          <w:sz w:val="24"/>
          <w:szCs w:val="24"/>
          <w:u w:val="single"/>
        </w:rPr>
        <w:t>Annual Performance Report (</w:t>
      </w:r>
      <w:r w:rsidR="00656EE0">
        <w:rPr>
          <w:rFonts w:cstheme="minorHAnsi"/>
          <w:b/>
          <w:color w:val="000000" w:themeColor="text1"/>
          <w:sz w:val="24"/>
          <w:szCs w:val="24"/>
          <w:u w:val="single"/>
        </w:rPr>
        <w:t>APR</w:t>
      </w:r>
      <w:r>
        <w:rPr>
          <w:rFonts w:cstheme="minorHAnsi"/>
          <w:b/>
          <w:color w:val="000000" w:themeColor="text1"/>
          <w:sz w:val="24"/>
          <w:szCs w:val="24"/>
          <w:u w:val="single"/>
        </w:rPr>
        <w:t>)</w:t>
      </w:r>
    </w:p>
    <w:p w:rsidR="005E53A1" w:rsidRDefault="005E53A1" w:rsidP="00382DE1">
      <w:pPr>
        <w:shd w:val="clear" w:color="auto" w:fill="FFFFFF"/>
        <w:spacing w:after="0" w:line="240" w:lineRule="auto"/>
        <w:outlineLvl w:val="1"/>
        <w:rPr>
          <w:rFonts w:cstheme="minorHAnsi"/>
          <w:color w:val="000000" w:themeColor="text1"/>
          <w:sz w:val="24"/>
          <w:szCs w:val="24"/>
        </w:rPr>
      </w:pPr>
      <w:r>
        <w:rPr>
          <w:rFonts w:cstheme="minorHAnsi"/>
          <w:color w:val="000000" w:themeColor="text1"/>
          <w:sz w:val="24"/>
          <w:szCs w:val="24"/>
        </w:rPr>
        <w:t xml:space="preserve">All performance reports and other reports as a condition of the grant must be submitted by the required due date. </w:t>
      </w:r>
      <w:r w:rsidRPr="005E53A1">
        <w:rPr>
          <w:rFonts w:cstheme="minorHAnsi"/>
          <w:color w:val="000000" w:themeColor="text1"/>
          <w:sz w:val="24"/>
          <w:szCs w:val="24"/>
        </w:rPr>
        <w:t>Sun-setting sub</w:t>
      </w:r>
      <w:r>
        <w:rPr>
          <w:rFonts w:cstheme="minorHAnsi"/>
          <w:color w:val="000000" w:themeColor="text1"/>
          <w:sz w:val="24"/>
          <w:szCs w:val="24"/>
        </w:rPr>
        <w:t>-</w:t>
      </w:r>
      <w:r w:rsidRPr="005E53A1">
        <w:rPr>
          <w:rFonts w:cstheme="minorHAnsi"/>
          <w:color w:val="000000" w:themeColor="text1"/>
          <w:sz w:val="24"/>
          <w:szCs w:val="24"/>
        </w:rPr>
        <w:t>grantees will still submit the APR for year five of the grant award. Please make arrangements for submission if the current Program Director is no longer in the position.</w:t>
      </w:r>
    </w:p>
    <w:p w:rsidR="00534D9B" w:rsidRPr="00534D9B" w:rsidRDefault="00534D9B" w:rsidP="00382DE1">
      <w:pPr>
        <w:shd w:val="clear" w:color="auto" w:fill="FFFFFF"/>
        <w:spacing w:after="0" w:line="240" w:lineRule="auto"/>
        <w:outlineLvl w:val="1"/>
        <w:rPr>
          <w:rFonts w:cstheme="minorHAnsi"/>
          <w:color w:val="000000" w:themeColor="text1"/>
          <w:sz w:val="24"/>
          <w:szCs w:val="24"/>
        </w:rPr>
      </w:pPr>
      <w:r w:rsidRPr="00534D9B">
        <w:rPr>
          <w:rFonts w:cstheme="minorHAnsi"/>
          <w:color w:val="000000" w:themeColor="text1"/>
          <w:sz w:val="24"/>
          <w:szCs w:val="24"/>
        </w:rPr>
        <w:t xml:space="preserve">Link: </w:t>
      </w:r>
      <w:hyperlink r:id="rId17" w:history="1">
        <w:r w:rsidRPr="00534D9B">
          <w:rPr>
            <w:rStyle w:val="Hyperlink"/>
            <w:b/>
            <w:sz w:val="24"/>
            <w:szCs w:val="24"/>
          </w:rPr>
          <w:t>https://21apr.ed.gov</w:t>
        </w:r>
      </w:hyperlink>
    </w:p>
    <w:p w:rsidR="00656EE0" w:rsidRPr="005E53A1" w:rsidRDefault="00656EE0" w:rsidP="00656EE0">
      <w:pPr>
        <w:jc w:val="center"/>
        <w:rPr>
          <w:sz w:val="24"/>
          <w:szCs w:val="24"/>
        </w:rPr>
      </w:pPr>
      <w:r w:rsidRPr="005E53A1">
        <w:rPr>
          <w:sz w:val="24"/>
          <w:szCs w:val="24"/>
        </w:rPr>
        <w:t>APR Term Open/Close Dates</w:t>
      </w:r>
    </w:p>
    <w:tbl>
      <w:tblPr>
        <w:tblStyle w:val="GridTable4"/>
        <w:tblW w:w="0" w:type="auto"/>
        <w:jc w:val="center"/>
        <w:tblLook w:val="04A0" w:firstRow="1" w:lastRow="0" w:firstColumn="1" w:lastColumn="0" w:noHBand="0" w:noVBand="1"/>
      </w:tblPr>
      <w:tblGrid>
        <w:gridCol w:w="3348"/>
        <w:gridCol w:w="3870"/>
      </w:tblGrid>
      <w:tr w:rsidR="00656EE0" w:rsidRPr="005E53A1" w:rsidTr="00E90D7E">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7218" w:type="dxa"/>
            <w:gridSpan w:val="2"/>
            <w:vAlign w:val="center"/>
          </w:tcPr>
          <w:p w:rsidR="00656EE0" w:rsidRPr="005E53A1" w:rsidRDefault="00656EE0" w:rsidP="00E90D7E">
            <w:pPr>
              <w:jc w:val="center"/>
              <w:rPr>
                <w:sz w:val="24"/>
                <w:szCs w:val="24"/>
              </w:rPr>
            </w:pPr>
            <w:r w:rsidRPr="005E53A1">
              <w:rPr>
                <w:sz w:val="24"/>
                <w:szCs w:val="24"/>
              </w:rPr>
              <w:t>Summer 2017</w:t>
            </w:r>
          </w:p>
        </w:tc>
      </w:tr>
      <w:tr w:rsidR="00656EE0" w:rsidRPr="005E53A1" w:rsidTr="00E90D7E">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348" w:type="dxa"/>
            <w:vAlign w:val="center"/>
          </w:tcPr>
          <w:p w:rsidR="00656EE0" w:rsidRPr="005E53A1" w:rsidRDefault="00656EE0" w:rsidP="00E90D7E">
            <w:pPr>
              <w:jc w:val="center"/>
              <w:rPr>
                <w:sz w:val="24"/>
                <w:szCs w:val="24"/>
              </w:rPr>
            </w:pPr>
            <w:r w:rsidRPr="005E53A1">
              <w:rPr>
                <w:sz w:val="24"/>
                <w:szCs w:val="24"/>
              </w:rPr>
              <w:t>Open  4-24-2018</w:t>
            </w:r>
          </w:p>
        </w:tc>
        <w:tc>
          <w:tcPr>
            <w:tcW w:w="3870" w:type="dxa"/>
            <w:vAlign w:val="center"/>
          </w:tcPr>
          <w:p w:rsidR="00656EE0" w:rsidRPr="005E53A1" w:rsidRDefault="00656EE0" w:rsidP="00E90D7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5E53A1">
              <w:rPr>
                <w:b/>
                <w:sz w:val="24"/>
                <w:szCs w:val="24"/>
              </w:rPr>
              <w:t>Close 5-22-2018</w:t>
            </w:r>
          </w:p>
        </w:tc>
      </w:tr>
    </w:tbl>
    <w:p w:rsidR="00656EE0" w:rsidRPr="00077314" w:rsidRDefault="00656EE0" w:rsidP="00656EE0">
      <w:pPr>
        <w:jc w:val="center"/>
        <w:rPr>
          <w:sz w:val="14"/>
          <w:szCs w:val="24"/>
        </w:rPr>
      </w:pPr>
    </w:p>
    <w:tbl>
      <w:tblPr>
        <w:tblStyle w:val="GridTable4"/>
        <w:tblW w:w="0" w:type="auto"/>
        <w:jc w:val="center"/>
        <w:tblLook w:val="04A0" w:firstRow="1" w:lastRow="0" w:firstColumn="1" w:lastColumn="0" w:noHBand="0" w:noVBand="1"/>
      </w:tblPr>
      <w:tblGrid>
        <w:gridCol w:w="3348"/>
        <w:gridCol w:w="3870"/>
      </w:tblGrid>
      <w:tr w:rsidR="00656EE0" w:rsidRPr="005E53A1" w:rsidTr="00E90D7E">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7218" w:type="dxa"/>
            <w:gridSpan w:val="2"/>
            <w:vAlign w:val="center"/>
          </w:tcPr>
          <w:p w:rsidR="00656EE0" w:rsidRPr="005E53A1" w:rsidRDefault="00656EE0" w:rsidP="00E90D7E">
            <w:pPr>
              <w:jc w:val="center"/>
              <w:rPr>
                <w:sz w:val="24"/>
                <w:szCs w:val="24"/>
              </w:rPr>
            </w:pPr>
            <w:r w:rsidRPr="005E53A1">
              <w:rPr>
                <w:sz w:val="24"/>
                <w:szCs w:val="24"/>
              </w:rPr>
              <w:t>Fall 2017</w:t>
            </w:r>
          </w:p>
        </w:tc>
      </w:tr>
      <w:tr w:rsidR="00656EE0" w:rsidRPr="005E53A1" w:rsidTr="00E90D7E">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348" w:type="dxa"/>
            <w:vAlign w:val="center"/>
          </w:tcPr>
          <w:p w:rsidR="00656EE0" w:rsidRPr="005E53A1" w:rsidRDefault="00656EE0" w:rsidP="00E90D7E">
            <w:pPr>
              <w:jc w:val="center"/>
              <w:rPr>
                <w:sz w:val="24"/>
                <w:szCs w:val="24"/>
              </w:rPr>
            </w:pPr>
            <w:r w:rsidRPr="005E53A1">
              <w:rPr>
                <w:sz w:val="24"/>
                <w:szCs w:val="24"/>
              </w:rPr>
              <w:t>Open  5-23-2018</w:t>
            </w:r>
          </w:p>
        </w:tc>
        <w:tc>
          <w:tcPr>
            <w:tcW w:w="3870" w:type="dxa"/>
            <w:vAlign w:val="center"/>
          </w:tcPr>
          <w:p w:rsidR="00656EE0" w:rsidRPr="005E53A1" w:rsidRDefault="00656EE0" w:rsidP="00E90D7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5E53A1">
              <w:rPr>
                <w:b/>
                <w:sz w:val="24"/>
                <w:szCs w:val="24"/>
              </w:rPr>
              <w:t>Close 7-2-2018</w:t>
            </w:r>
          </w:p>
        </w:tc>
      </w:tr>
    </w:tbl>
    <w:p w:rsidR="00656EE0" w:rsidRPr="00077314" w:rsidRDefault="00656EE0" w:rsidP="00656EE0">
      <w:pPr>
        <w:jc w:val="center"/>
        <w:rPr>
          <w:sz w:val="14"/>
          <w:szCs w:val="24"/>
        </w:rPr>
      </w:pPr>
    </w:p>
    <w:tbl>
      <w:tblPr>
        <w:tblStyle w:val="GridTable4"/>
        <w:tblW w:w="0" w:type="auto"/>
        <w:jc w:val="center"/>
        <w:tblLook w:val="04A0" w:firstRow="1" w:lastRow="0" w:firstColumn="1" w:lastColumn="0" w:noHBand="0" w:noVBand="1"/>
      </w:tblPr>
      <w:tblGrid>
        <w:gridCol w:w="3348"/>
        <w:gridCol w:w="3870"/>
      </w:tblGrid>
      <w:tr w:rsidR="00656EE0" w:rsidRPr="005E53A1" w:rsidTr="00E90D7E">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7218" w:type="dxa"/>
            <w:gridSpan w:val="2"/>
            <w:vAlign w:val="center"/>
          </w:tcPr>
          <w:p w:rsidR="00656EE0" w:rsidRPr="005E53A1" w:rsidRDefault="00656EE0" w:rsidP="00E90D7E">
            <w:pPr>
              <w:jc w:val="center"/>
              <w:rPr>
                <w:sz w:val="24"/>
                <w:szCs w:val="24"/>
              </w:rPr>
            </w:pPr>
            <w:r w:rsidRPr="005E53A1">
              <w:rPr>
                <w:sz w:val="24"/>
                <w:szCs w:val="24"/>
              </w:rPr>
              <w:t>Spring 2018</w:t>
            </w:r>
          </w:p>
        </w:tc>
      </w:tr>
      <w:tr w:rsidR="00656EE0" w:rsidRPr="005E53A1" w:rsidTr="00E90D7E">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348" w:type="dxa"/>
            <w:vAlign w:val="center"/>
          </w:tcPr>
          <w:p w:rsidR="00656EE0" w:rsidRPr="005E53A1" w:rsidRDefault="00656EE0" w:rsidP="00E90D7E">
            <w:pPr>
              <w:jc w:val="center"/>
              <w:rPr>
                <w:sz w:val="24"/>
                <w:szCs w:val="24"/>
              </w:rPr>
            </w:pPr>
            <w:r w:rsidRPr="005E53A1">
              <w:rPr>
                <w:sz w:val="24"/>
                <w:szCs w:val="24"/>
              </w:rPr>
              <w:t>Open  8-1-2018</w:t>
            </w:r>
          </w:p>
        </w:tc>
        <w:tc>
          <w:tcPr>
            <w:tcW w:w="3870" w:type="dxa"/>
            <w:vAlign w:val="center"/>
          </w:tcPr>
          <w:p w:rsidR="00656EE0" w:rsidRPr="005E53A1" w:rsidRDefault="00656EE0" w:rsidP="00E90D7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5E53A1">
              <w:rPr>
                <w:b/>
                <w:sz w:val="24"/>
                <w:szCs w:val="24"/>
              </w:rPr>
              <w:t>Close 12-3-2018</w:t>
            </w:r>
          </w:p>
        </w:tc>
      </w:tr>
    </w:tbl>
    <w:p w:rsidR="00A94A8A" w:rsidRDefault="00A94A8A" w:rsidP="00382DE1">
      <w:pPr>
        <w:pStyle w:val="ListParagraph"/>
        <w:spacing w:after="120" w:line="240" w:lineRule="auto"/>
        <w:ind w:left="0"/>
        <w:jc w:val="both"/>
        <w:rPr>
          <w:i/>
          <w:sz w:val="24"/>
          <w:szCs w:val="24"/>
        </w:rPr>
      </w:pPr>
    </w:p>
    <w:p w:rsidR="00484A80" w:rsidRPr="004D6197" w:rsidRDefault="00484A80" w:rsidP="00382DE1">
      <w:pPr>
        <w:pStyle w:val="ListParagraph"/>
        <w:spacing w:after="120" w:line="240" w:lineRule="auto"/>
        <w:ind w:left="0"/>
        <w:jc w:val="both"/>
        <w:rPr>
          <w:i/>
          <w:sz w:val="24"/>
          <w:szCs w:val="24"/>
        </w:rPr>
      </w:pPr>
      <w:r w:rsidRPr="00095072">
        <w:rPr>
          <w:i/>
          <w:sz w:val="24"/>
          <w:szCs w:val="24"/>
        </w:rPr>
        <w:t xml:space="preserve">All activities/reports due to Oregon Department of Education </w:t>
      </w:r>
      <w:r>
        <w:rPr>
          <w:i/>
          <w:sz w:val="24"/>
          <w:szCs w:val="24"/>
        </w:rPr>
        <w:t xml:space="preserve">(ODE) with the exception of Summer, </w:t>
      </w:r>
      <w:r w:rsidRPr="00095072">
        <w:rPr>
          <w:i/>
          <w:sz w:val="24"/>
          <w:szCs w:val="24"/>
        </w:rPr>
        <w:t>Winter and Spring Annual Program Reports which are submitted to the US Department of Education.</w:t>
      </w:r>
    </w:p>
    <w:p w:rsidR="00F1707A" w:rsidRPr="00B77E99" w:rsidRDefault="00F1707A" w:rsidP="00F1707A">
      <w:pPr>
        <w:pStyle w:val="IntenseQuote"/>
        <w:spacing w:line="240" w:lineRule="auto"/>
        <w:outlineLvl w:val="0"/>
        <w:rPr>
          <w:sz w:val="28"/>
          <w:szCs w:val="28"/>
        </w:rPr>
      </w:pPr>
      <w:bookmarkStart w:id="1" w:name="_Toc514763945"/>
      <w:r w:rsidRPr="00B77E99">
        <w:rPr>
          <w:sz w:val="28"/>
          <w:szCs w:val="28"/>
        </w:rPr>
        <w:t>Transferring APR data from EZ Reports</w:t>
      </w:r>
      <w:bookmarkEnd w:id="1"/>
    </w:p>
    <w:p w:rsidR="00F1707A" w:rsidRPr="004A3B9B" w:rsidRDefault="00F1707A" w:rsidP="00F1707A">
      <w:pPr>
        <w:spacing w:after="120" w:line="240" w:lineRule="auto"/>
        <w:jc w:val="center"/>
        <w:rPr>
          <w:rFonts w:cstheme="minorHAnsi"/>
          <w:b/>
          <w:sz w:val="24"/>
          <w:szCs w:val="24"/>
        </w:rPr>
      </w:pPr>
      <w:r w:rsidRPr="004A3B9B">
        <w:rPr>
          <w:rFonts w:cstheme="minorHAnsi"/>
          <w:b/>
          <w:sz w:val="24"/>
          <w:szCs w:val="24"/>
        </w:rPr>
        <w:t>Summer 2017</w:t>
      </w:r>
    </w:p>
    <w:p w:rsidR="00F1707A" w:rsidRPr="004A3B9B" w:rsidRDefault="00F1707A" w:rsidP="00F1707A">
      <w:pPr>
        <w:spacing w:line="240" w:lineRule="auto"/>
        <w:rPr>
          <w:rFonts w:cstheme="minorHAnsi"/>
          <w:sz w:val="24"/>
          <w:szCs w:val="24"/>
        </w:rPr>
      </w:pPr>
      <w:r w:rsidRPr="004A3B9B">
        <w:rPr>
          <w:rFonts w:cstheme="minorHAnsi"/>
          <w:b/>
          <w:sz w:val="24"/>
          <w:szCs w:val="24"/>
        </w:rPr>
        <w:t>In EZ Reports</w:t>
      </w:r>
    </w:p>
    <w:p w:rsidR="00F1707A" w:rsidRPr="004A3B9B" w:rsidRDefault="00F1707A" w:rsidP="00F1707A">
      <w:pPr>
        <w:pStyle w:val="ListParagraph"/>
        <w:numPr>
          <w:ilvl w:val="0"/>
          <w:numId w:val="29"/>
        </w:numPr>
        <w:spacing w:line="240" w:lineRule="auto"/>
        <w:rPr>
          <w:rFonts w:cstheme="minorHAnsi"/>
          <w:sz w:val="24"/>
          <w:szCs w:val="24"/>
        </w:rPr>
      </w:pPr>
      <w:r w:rsidRPr="004A3B9B">
        <w:rPr>
          <w:rFonts w:cstheme="minorHAnsi"/>
          <w:sz w:val="24"/>
          <w:szCs w:val="24"/>
        </w:rPr>
        <w:t xml:space="preserve">At the district/grantee or the site level, click on </w:t>
      </w:r>
      <w:r w:rsidRPr="004A3B9B">
        <w:rPr>
          <w:rFonts w:cstheme="minorHAnsi"/>
          <w:b/>
          <w:sz w:val="24"/>
          <w:szCs w:val="24"/>
        </w:rPr>
        <w:t>Reports&gt;DOE.</w:t>
      </w:r>
      <w:r w:rsidRPr="004A3B9B">
        <w:rPr>
          <w:rFonts w:cstheme="minorHAnsi"/>
          <w:sz w:val="24"/>
          <w:szCs w:val="24"/>
        </w:rPr>
        <w:t xml:space="preserve"> You will see a button for APR and a button for APR Warnings. The APR Warnings button will give you a report that indicates any session days (as specified by you in Manage Activities) that do not have attendance recorded. If you have easily accessible attendance data for last summer that has not been entered, you should enter it before generating your report. Be sure to filter by semester and select summer so that you do not get warnings for fall and spring at this time. When you have done what you can with the warnings, proceed.</w:t>
      </w:r>
    </w:p>
    <w:p w:rsidR="00F1707A" w:rsidRPr="004A3B9B" w:rsidRDefault="00F1707A" w:rsidP="00F1707A">
      <w:pPr>
        <w:pStyle w:val="ListParagraph"/>
        <w:numPr>
          <w:ilvl w:val="0"/>
          <w:numId w:val="29"/>
        </w:numPr>
        <w:spacing w:line="240" w:lineRule="auto"/>
        <w:rPr>
          <w:rFonts w:cstheme="minorHAnsi"/>
          <w:sz w:val="24"/>
          <w:szCs w:val="24"/>
        </w:rPr>
      </w:pPr>
      <w:r w:rsidRPr="004A3B9B">
        <w:rPr>
          <w:rFonts w:cstheme="minorHAnsi"/>
          <w:sz w:val="24"/>
          <w:szCs w:val="24"/>
        </w:rPr>
        <w:t xml:space="preserve">At the district/grantee level, click on </w:t>
      </w:r>
      <w:r w:rsidRPr="004A3B9B">
        <w:rPr>
          <w:rFonts w:cstheme="minorHAnsi"/>
          <w:b/>
          <w:sz w:val="24"/>
          <w:szCs w:val="24"/>
        </w:rPr>
        <w:t xml:space="preserve">Reports&gt;DOE&gt;APR. </w:t>
      </w:r>
      <w:r w:rsidRPr="004A3B9B">
        <w:rPr>
          <w:rFonts w:cstheme="minorHAnsi"/>
          <w:sz w:val="24"/>
          <w:szCs w:val="24"/>
        </w:rPr>
        <w:t>Select the semester you are reporting, in this case, summer. Click Activities, Staffing and Participation. (For subsequent reports, if you have entered the Teacher Surveys into EZ Reports instead of tabulating them separately, click on that as well. Teacher Surveys are not required for summer and you are unlikely to have any students over 30 days anyway.)</w:t>
      </w:r>
    </w:p>
    <w:p w:rsidR="00F1707A" w:rsidRPr="004A3B9B" w:rsidRDefault="00F1707A" w:rsidP="00F1707A">
      <w:pPr>
        <w:pStyle w:val="ListParagraph"/>
        <w:numPr>
          <w:ilvl w:val="0"/>
          <w:numId w:val="29"/>
        </w:numPr>
        <w:spacing w:line="240" w:lineRule="auto"/>
        <w:rPr>
          <w:rFonts w:cstheme="minorHAnsi"/>
          <w:sz w:val="24"/>
          <w:szCs w:val="24"/>
        </w:rPr>
      </w:pPr>
      <w:r w:rsidRPr="004A3B9B">
        <w:rPr>
          <w:rFonts w:cstheme="minorHAnsi"/>
          <w:sz w:val="24"/>
          <w:szCs w:val="24"/>
        </w:rPr>
        <w:t xml:space="preserve">Generate the report. For each site in your program, it lists those items that need to be entered into the federal APR reporting system. </w:t>
      </w:r>
    </w:p>
    <w:p w:rsidR="00F1707A" w:rsidRPr="004A3B9B" w:rsidRDefault="00F1707A" w:rsidP="00F1707A">
      <w:pPr>
        <w:rPr>
          <w:rFonts w:cstheme="minorHAnsi"/>
          <w:sz w:val="24"/>
          <w:szCs w:val="24"/>
        </w:rPr>
      </w:pPr>
      <w:r w:rsidRPr="004A3B9B">
        <w:rPr>
          <w:rFonts w:cstheme="minorHAnsi"/>
          <w:b/>
          <w:sz w:val="24"/>
          <w:szCs w:val="24"/>
        </w:rPr>
        <w:t>In the federal APR reporting system (</w:t>
      </w:r>
      <w:hyperlink r:id="rId18" w:history="1">
        <w:r w:rsidRPr="004A3B9B">
          <w:rPr>
            <w:rStyle w:val="Hyperlink"/>
            <w:rFonts w:cstheme="minorHAnsi"/>
            <w:b/>
            <w:sz w:val="24"/>
            <w:szCs w:val="24"/>
          </w:rPr>
          <w:t>https://21apr.ed.gov</w:t>
        </w:r>
      </w:hyperlink>
      <w:r w:rsidRPr="004A3B9B">
        <w:rPr>
          <w:rFonts w:cstheme="minorHAnsi"/>
          <w:b/>
          <w:sz w:val="24"/>
          <w:szCs w:val="24"/>
        </w:rPr>
        <w:t>)</w:t>
      </w:r>
    </w:p>
    <w:p w:rsidR="00F1707A" w:rsidRPr="004A3B9B" w:rsidRDefault="00F1707A" w:rsidP="00F1707A">
      <w:pPr>
        <w:pStyle w:val="ListParagraph"/>
        <w:numPr>
          <w:ilvl w:val="0"/>
          <w:numId w:val="30"/>
        </w:numPr>
        <w:spacing w:line="240" w:lineRule="auto"/>
        <w:rPr>
          <w:rFonts w:cstheme="minorHAnsi"/>
          <w:sz w:val="24"/>
          <w:szCs w:val="24"/>
        </w:rPr>
      </w:pPr>
      <w:r w:rsidRPr="004A3B9B">
        <w:rPr>
          <w:rFonts w:cstheme="minorHAnsi"/>
          <w:sz w:val="24"/>
          <w:szCs w:val="24"/>
        </w:rPr>
        <w:t xml:space="preserve">Pull up the home page and enter your email address and password. The system requires password resets every few months, so you will probably need to click on </w:t>
      </w:r>
      <w:r>
        <w:rPr>
          <w:rFonts w:cstheme="minorHAnsi"/>
          <w:sz w:val="24"/>
          <w:szCs w:val="24"/>
        </w:rPr>
        <w:t>“</w:t>
      </w:r>
      <w:r w:rsidRPr="004A3B9B">
        <w:rPr>
          <w:rFonts w:cstheme="minorHAnsi"/>
          <w:sz w:val="24"/>
          <w:szCs w:val="24"/>
        </w:rPr>
        <w:t>Forgot Your Password?</w:t>
      </w:r>
      <w:r>
        <w:rPr>
          <w:rFonts w:cstheme="minorHAnsi"/>
          <w:sz w:val="24"/>
          <w:szCs w:val="24"/>
        </w:rPr>
        <w:t xml:space="preserve">” then </w:t>
      </w:r>
      <w:r w:rsidRPr="004A3B9B">
        <w:rPr>
          <w:rFonts w:cstheme="minorHAnsi"/>
          <w:sz w:val="24"/>
          <w:szCs w:val="24"/>
        </w:rPr>
        <w:t xml:space="preserve">follow the </w:t>
      </w:r>
      <w:r>
        <w:rPr>
          <w:rFonts w:cstheme="minorHAnsi"/>
          <w:sz w:val="24"/>
          <w:szCs w:val="24"/>
        </w:rPr>
        <w:t xml:space="preserve">email </w:t>
      </w:r>
      <w:r w:rsidRPr="004A3B9B">
        <w:rPr>
          <w:rFonts w:cstheme="minorHAnsi"/>
          <w:sz w:val="24"/>
          <w:szCs w:val="24"/>
        </w:rPr>
        <w:t>instructions to reset your password.</w:t>
      </w:r>
    </w:p>
    <w:p w:rsidR="00F1707A" w:rsidRPr="004A3B9B" w:rsidRDefault="00F1707A" w:rsidP="00F1707A">
      <w:pPr>
        <w:pStyle w:val="ListParagraph"/>
        <w:numPr>
          <w:ilvl w:val="0"/>
          <w:numId w:val="30"/>
        </w:numPr>
        <w:spacing w:line="240" w:lineRule="auto"/>
        <w:rPr>
          <w:rFonts w:cstheme="minorHAnsi"/>
          <w:sz w:val="24"/>
          <w:szCs w:val="24"/>
        </w:rPr>
      </w:pPr>
      <w:r w:rsidRPr="004A3B9B">
        <w:rPr>
          <w:rFonts w:cstheme="minorHAnsi"/>
          <w:sz w:val="24"/>
          <w:szCs w:val="24"/>
        </w:rPr>
        <w:t>Once you are in the system, you will see a list of your sites. If a site does not have summer school, click the button to the left of the site name and you are done with that site for this reporting round.</w:t>
      </w:r>
    </w:p>
    <w:p w:rsidR="00F1707A" w:rsidRPr="004A3B9B" w:rsidRDefault="00F1707A" w:rsidP="00F1707A">
      <w:pPr>
        <w:pStyle w:val="ListParagraph"/>
        <w:numPr>
          <w:ilvl w:val="0"/>
          <w:numId w:val="30"/>
        </w:numPr>
        <w:spacing w:line="240" w:lineRule="auto"/>
        <w:rPr>
          <w:rFonts w:cstheme="minorHAnsi"/>
          <w:sz w:val="24"/>
          <w:szCs w:val="24"/>
        </w:rPr>
      </w:pPr>
      <w:r w:rsidRPr="004A3B9B">
        <w:rPr>
          <w:rFonts w:cstheme="minorHAnsi"/>
          <w:sz w:val="24"/>
          <w:szCs w:val="24"/>
        </w:rPr>
        <w:t xml:space="preserve">For each site you are reporting on, click the </w:t>
      </w:r>
      <w:r w:rsidRPr="004A3B9B">
        <w:rPr>
          <w:rFonts w:cstheme="minorHAnsi"/>
          <w:b/>
          <w:sz w:val="24"/>
          <w:szCs w:val="24"/>
        </w:rPr>
        <w:t>down arrow</w:t>
      </w:r>
      <w:r w:rsidRPr="004A3B9B">
        <w:rPr>
          <w:rFonts w:cstheme="minorHAnsi"/>
          <w:sz w:val="24"/>
          <w:szCs w:val="24"/>
        </w:rPr>
        <w:t xml:space="preserve"> to the right of the site name and then on </w:t>
      </w:r>
      <w:r w:rsidRPr="004A3B9B">
        <w:rPr>
          <w:rFonts w:cstheme="minorHAnsi"/>
          <w:b/>
          <w:sz w:val="24"/>
          <w:szCs w:val="24"/>
        </w:rPr>
        <w:t>Edit</w:t>
      </w:r>
      <w:r w:rsidRPr="004A3B9B">
        <w:rPr>
          <w:rFonts w:cstheme="minorHAnsi"/>
          <w:sz w:val="24"/>
          <w:szCs w:val="24"/>
        </w:rPr>
        <w:t xml:space="preserve"> and make sure the information about the site is accurate. After editing make sure to click </w:t>
      </w:r>
      <w:r w:rsidRPr="004A3B9B">
        <w:rPr>
          <w:rFonts w:cstheme="minorHAnsi"/>
          <w:b/>
          <w:sz w:val="24"/>
          <w:szCs w:val="24"/>
        </w:rPr>
        <w:t>Continue to Review</w:t>
      </w:r>
      <w:r w:rsidRPr="004A3B9B">
        <w:rPr>
          <w:rFonts w:cstheme="minorHAnsi"/>
          <w:sz w:val="24"/>
          <w:szCs w:val="24"/>
        </w:rPr>
        <w:t xml:space="preserve"> or the edited information will not be saved.</w:t>
      </w:r>
    </w:p>
    <w:p w:rsidR="00F1707A" w:rsidRPr="004A3B9B" w:rsidRDefault="00F1707A" w:rsidP="00F1707A">
      <w:pPr>
        <w:pStyle w:val="ListParagraph"/>
        <w:numPr>
          <w:ilvl w:val="0"/>
          <w:numId w:val="30"/>
        </w:numPr>
        <w:spacing w:line="240" w:lineRule="auto"/>
        <w:rPr>
          <w:rFonts w:cstheme="minorHAnsi"/>
          <w:sz w:val="24"/>
          <w:szCs w:val="24"/>
        </w:rPr>
      </w:pPr>
      <w:r w:rsidRPr="004A3B9B">
        <w:rPr>
          <w:rFonts w:cstheme="minorHAnsi"/>
          <w:sz w:val="24"/>
          <w:szCs w:val="24"/>
        </w:rPr>
        <w:t xml:space="preserve">Once the site information is accurate, click on a site, then on </w:t>
      </w:r>
      <w:r w:rsidRPr="004A3B9B">
        <w:rPr>
          <w:rFonts w:cstheme="minorHAnsi"/>
          <w:b/>
          <w:sz w:val="24"/>
          <w:szCs w:val="24"/>
        </w:rPr>
        <w:t xml:space="preserve">Enter APR Data. </w:t>
      </w:r>
      <w:r w:rsidRPr="004A3B9B">
        <w:rPr>
          <w:rFonts w:cstheme="minorHAnsi"/>
          <w:sz w:val="24"/>
          <w:szCs w:val="24"/>
        </w:rPr>
        <w:t>(You can also click on the little Menu button on the upper left and click on a site, then the category you want to report on.)</w:t>
      </w:r>
      <w:r w:rsidRPr="004A3B9B">
        <w:rPr>
          <w:rFonts w:cstheme="minorHAnsi"/>
          <w:b/>
          <w:sz w:val="24"/>
          <w:szCs w:val="24"/>
        </w:rPr>
        <w:t xml:space="preserve"> </w:t>
      </w:r>
      <w:r w:rsidRPr="004A3B9B">
        <w:rPr>
          <w:rFonts w:cstheme="minorHAnsi"/>
          <w:sz w:val="24"/>
          <w:szCs w:val="24"/>
        </w:rPr>
        <w:t>The Activities screen will come up for that site. Get your printout from EZ Reports. On the first page for each school, Activities will be listed. For each activity that is listed, locate the button for that activity and click on it. You can ignore any activities not listed on the EZ Reports printout.</w:t>
      </w:r>
    </w:p>
    <w:p w:rsidR="00F1707A" w:rsidRPr="004A3B9B" w:rsidRDefault="00F1707A" w:rsidP="00F1707A">
      <w:pPr>
        <w:pStyle w:val="ListParagraph"/>
        <w:numPr>
          <w:ilvl w:val="0"/>
          <w:numId w:val="30"/>
        </w:numPr>
        <w:spacing w:line="240" w:lineRule="auto"/>
        <w:rPr>
          <w:rFonts w:cstheme="minorHAnsi"/>
          <w:sz w:val="24"/>
          <w:szCs w:val="24"/>
        </w:rPr>
      </w:pPr>
      <w:r w:rsidRPr="004A3B9B">
        <w:rPr>
          <w:rFonts w:cstheme="minorHAnsi"/>
          <w:sz w:val="24"/>
          <w:szCs w:val="24"/>
        </w:rPr>
        <w:t>When you are finished with Activities, click on the button for the next category in the upper right had corner at the top of the screen and it will take you to Staffing. Be sure your staffing report includes everyone who regularly worked the program (not substitutes). Sometimes people leave volunteers and other helpers off the EZ Reports staffing list, but they need to be reported as well. If you know there were others, add them in the appropriate categories.</w:t>
      </w:r>
    </w:p>
    <w:p w:rsidR="00F1707A" w:rsidRPr="004A3B9B" w:rsidRDefault="00F1707A" w:rsidP="00F1707A">
      <w:pPr>
        <w:pStyle w:val="ListParagraph"/>
        <w:numPr>
          <w:ilvl w:val="0"/>
          <w:numId w:val="30"/>
        </w:numPr>
        <w:spacing w:line="240" w:lineRule="auto"/>
        <w:rPr>
          <w:rFonts w:cstheme="minorHAnsi"/>
          <w:sz w:val="24"/>
          <w:szCs w:val="24"/>
        </w:rPr>
      </w:pPr>
      <w:r w:rsidRPr="004A3B9B">
        <w:rPr>
          <w:rFonts w:cstheme="minorHAnsi"/>
          <w:sz w:val="24"/>
          <w:szCs w:val="24"/>
        </w:rPr>
        <w:t>When you are finished with Staffing, click on the next button for Participation. Again, follow your EZ Reports printout, which will include everything that was put in. If there is a category you do not have information for and cannot get it in a timely fashion, click the Data Not Provided button for that category.</w:t>
      </w:r>
    </w:p>
    <w:p w:rsidR="00F1707A" w:rsidRPr="004A3B9B" w:rsidRDefault="00F1707A" w:rsidP="00F1707A">
      <w:pPr>
        <w:pStyle w:val="ListParagraph"/>
        <w:numPr>
          <w:ilvl w:val="0"/>
          <w:numId w:val="30"/>
        </w:numPr>
        <w:spacing w:line="240" w:lineRule="auto"/>
        <w:rPr>
          <w:rFonts w:cstheme="minorHAnsi"/>
          <w:sz w:val="24"/>
          <w:szCs w:val="24"/>
        </w:rPr>
      </w:pPr>
      <w:r w:rsidRPr="004A3B9B">
        <w:rPr>
          <w:rFonts w:cstheme="minorHAnsi"/>
          <w:sz w:val="24"/>
          <w:szCs w:val="24"/>
        </w:rPr>
        <w:t>For summer reporting, that is it. Outcomes are only reported for students who were 30 days or more in the program, which is rare in summer school, and Teacher Surveys are not required for summer anyway.</w:t>
      </w:r>
    </w:p>
    <w:p w:rsidR="00F1707A" w:rsidRPr="00F1707A" w:rsidRDefault="00F1707A" w:rsidP="00F1707A">
      <w:pPr>
        <w:spacing w:line="240" w:lineRule="auto"/>
        <w:rPr>
          <w:rFonts w:cstheme="minorHAnsi"/>
          <w:sz w:val="24"/>
          <w:szCs w:val="24"/>
        </w:rPr>
      </w:pPr>
      <w:r w:rsidRPr="004A3B9B">
        <w:rPr>
          <w:rFonts w:cstheme="minorHAnsi"/>
          <w:sz w:val="24"/>
          <w:szCs w:val="24"/>
        </w:rPr>
        <w:t xml:space="preserve">If you have any questions, email </w:t>
      </w:r>
      <w:hyperlink r:id="rId19" w:history="1">
        <w:r w:rsidRPr="004A3B9B">
          <w:rPr>
            <w:rStyle w:val="Hyperlink"/>
            <w:rFonts w:cstheme="minorHAnsi"/>
            <w:sz w:val="24"/>
            <w:szCs w:val="24"/>
          </w:rPr>
          <w:t>Kathy Kollasch</w:t>
        </w:r>
      </w:hyperlink>
      <w:r w:rsidRPr="004A3B9B">
        <w:rPr>
          <w:rFonts w:cstheme="minorHAnsi"/>
          <w:sz w:val="24"/>
          <w:szCs w:val="24"/>
        </w:rPr>
        <w:t xml:space="preserve"> or call 503-435-9477.</w:t>
      </w:r>
    </w:p>
    <w:p w:rsidR="006E3BB3" w:rsidRPr="00B77E99" w:rsidRDefault="006E3BB3" w:rsidP="00B77E99">
      <w:pPr>
        <w:pStyle w:val="IntenseQuote"/>
        <w:spacing w:line="240" w:lineRule="auto"/>
        <w:outlineLvl w:val="0"/>
        <w:rPr>
          <w:rFonts w:cstheme="minorHAnsi"/>
          <w:sz w:val="28"/>
          <w:szCs w:val="28"/>
        </w:rPr>
      </w:pPr>
      <w:bookmarkStart w:id="2" w:name="_Toc514763946"/>
      <w:r w:rsidRPr="00B77E99">
        <w:rPr>
          <w:rFonts w:cstheme="minorHAnsi"/>
          <w:sz w:val="28"/>
          <w:szCs w:val="28"/>
        </w:rPr>
        <w:t>Records Retention</w:t>
      </w:r>
      <w:bookmarkEnd w:id="2"/>
    </w:p>
    <w:p w:rsidR="006E3BB3" w:rsidRPr="007C47E7" w:rsidRDefault="006E3BB3" w:rsidP="00C16CCF">
      <w:pPr>
        <w:spacing w:after="120" w:line="240" w:lineRule="auto"/>
        <w:contextualSpacing/>
        <w:rPr>
          <w:rFonts w:cstheme="minorHAnsi"/>
          <w:sz w:val="24"/>
          <w:szCs w:val="24"/>
        </w:rPr>
      </w:pPr>
      <w:r w:rsidRPr="007C47E7">
        <w:rPr>
          <w:rFonts w:cstheme="minorHAnsi"/>
          <w:sz w:val="24"/>
          <w:szCs w:val="24"/>
        </w:rPr>
        <w:t>Sub-grantees are required to maintain all:</w:t>
      </w:r>
    </w:p>
    <w:p w:rsidR="006E3BB3" w:rsidRPr="007C47E7" w:rsidRDefault="006E3BB3" w:rsidP="00C16CCF">
      <w:pPr>
        <w:pStyle w:val="ListParagraph"/>
        <w:numPr>
          <w:ilvl w:val="0"/>
          <w:numId w:val="2"/>
        </w:numPr>
        <w:spacing w:after="120" w:line="240" w:lineRule="auto"/>
        <w:rPr>
          <w:rFonts w:cstheme="minorHAnsi"/>
          <w:sz w:val="24"/>
          <w:szCs w:val="24"/>
        </w:rPr>
      </w:pPr>
      <w:r w:rsidRPr="007C47E7">
        <w:rPr>
          <w:rFonts w:cstheme="minorHAnsi"/>
          <w:sz w:val="24"/>
          <w:szCs w:val="24"/>
        </w:rPr>
        <w:t>Financial Records: (1) the amount of funds under the sub-award, (2) how the sub-grantee used those funds, (3</w:t>
      </w:r>
      <w:r w:rsidR="00204757">
        <w:rPr>
          <w:rFonts w:cstheme="minorHAnsi"/>
          <w:sz w:val="24"/>
          <w:szCs w:val="24"/>
        </w:rPr>
        <w:t>) the total cost of each program</w:t>
      </w:r>
      <w:r w:rsidRPr="007C47E7">
        <w:rPr>
          <w:rFonts w:cstheme="minorHAnsi"/>
          <w:sz w:val="24"/>
          <w:szCs w:val="24"/>
        </w:rPr>
        <w:t xml:space="preserve">, (4) the total match/in-kind cost of each program, and (5) other records to facilitate an effective audit. </w:t>
      </w:r>
    </w:p>
    <w:p w:rsidR="00194286" w:rsidRPr="007C47E7" w:rsidRDefault="006E3BB3" w:rsidP="00C16CCF">
      <w:pPr>
        <w:pStyle w:val="ListParagraph"/>
        <w:numPr>
          <w:ilvl w:val="0"/>
          <w:numId w:val="2"/>
        </w:numPr>
        <w:spacing w:line="240" w:lineRule="auto"/>
        <w:rPr>
          <w:rFonts w:cstheme="minorHAnsi"/>
          <w:sz w:val="24"/>
          <w:szCs w:val="24"/>
        </w:rPr>
      </w:pPr>
      <w:r w:rsidRPr="007C47E7">
        <w:rPr>
          <w:rFonts w:cstheme="minorHAnsi"/>
          <w:sz w:val="24"/>
          <w:szCs w:val="24"/>
        </w:rPr>
        <w:t xml:space="preserve">Project Experience Records: (1) the results of grant goals and objectives, (2) State &amp; Federal Annual Reports, (3) monitoring reports, (4) evaluation reports, and (5) other records to facilitate an effective audit. </w:t>
      </w:r>
    </w:p>
    <w:p w:rsidR="00194286" w:rsidRPr="007C47E7" w:rsidRDefault="00194286" w:rsidP="00F60776">
      <w:pPr>
        <w:spacing w:line="240" w:lineRule="auto"/>
        <w:rPr>
          <w:rFonts w:cstheme="minorHAnsi"/>
          <w:sz w:val="24"/>
          <w:szCs w:val="24"/>
        </w:rPr>
      </w:pPr>
      <w:r w:rsidRPr="007C47E7">
        <w:rPr>
          <w:rFonts w:cstheme="minorHAnsi"/>
          <w:sz w:val="24"/>
          <w:szCs w:val="24"/>
        </w:rPr>
        <w:t>While 2 C.F.R §200.333 states that all sub-grant related records must be retained for 3 years after the award cycle expires, the statute of limitations is five years after the award cycle expires. Therefore, i</w:t>
      </w:r>
      <w:r w:rsidR="0001292B" w:rsidRPr="007C47E7">
        <w:rPr>
          <w:rFonts w:cstheme="minorHAnsi"/>
          <w:sz w:val="24"/>
          <w:szCs w:val="24"/>
        </w:rPr>
        <w:t>n Oregon, the requirement is that</w:t>
      </w:r>
      <w:r w:rsidRPr="007C47E7">
        <w:rPr>
          <w:rFonts w:cstheme="minorHAnsi"/>
          <w:sz w:val="24"/>
          <w:szCs w:val="24"/>
        </w:rPr>
        <w:t xml:space="preserve"> all 21</w:t>
      </w:r>
      <w:r w:rsidRPr="007C47E7">
        <w:rPr>
          <w:rFonts w:cstheme="minorHAnsi"/>
          <w:sz w:val="24"/>
          <w:szCs w:val="24"/>
          <w:vertAlign w:val="superscript"/>
        </w:rPr>
        <w:t>st</w:t>
      </w:r>
      <w:r w:rsidRPr="007C47E7">
        <w:rPr>
          <w:rFonts w:cstheme="minorHAnsi"/>
          <w:sz w:val="24"/>
          <w:szCs w:val="24"/>
        </w:rPr>
        <w:t xml:space="preserve"> CCLC sub-grantees must retain the records described above for five years after the award cycle expires. </w:t>
      </w:r>
    </w:p>
    <w:p w:rsidR="008D389E" w:rsidRPr="007C47E7" w:rsidRDefault="008D389E" w:rsidP="00F60776">
      <w:pPr>
        <w:spacing w:line="240" w:lineRule="auto"/>
        <w:rPr>
          <w:rFonts w:cstheme="minorHAnsi"/>
          <w:sz w:val="24"/>
          <w:szCs w:val="24"/>
        </w:rPr>
      </w:pPr>
      <w:r w:rsidRPr="007C47E7">
        <w:rPr>
          <w:rFonts w:cstheme="minorHAnsi"/>
          <w:sz w:val="24"/>
          <w:szCs w:val="24"/>
        </w:rPr>
        <w:t>The retention period for the records begins on the day that sub-grantees submit</w:t>
      </w:r>
      <w:r w:rsidR="00F60776">
        <w:rPr>
          <w:rFonts w:cstheme="minorHAnsi"/>
          <w:sz w:val="24"/>
          <w:szCs w:val="24"/>
        </w:rPr>
        <w:t xml:space="preserve"> final </w:t>
      </w:r>
      <w:r w:rsidR="00F60776" w:rsidRPr="007C47E7">
        <w:rPr>
          <w:rFonts w:cstheme="minorHAnsi"/>
          <w:sz w:val="24"/>
          <w:szCs w:val="24"/>
        </w:rPr>
        <w:t>expenditure report</w:t>
      </w:r>
      <w:r w:rsidR="00F60776">
        <w:rPr>
          <w:rFonts w:cstheme="minorHAnsi"/>
          <w:sz w:val="24"/>
          <w:szCs w:val="24"/>
        </w:rPr>
        <w:t>s</w:t>
      </w:r>
      <w:r w:rsidR="00F60776" w:rsidRPr="007C47E7">
        <w:rPr>
          <w:rFonts w:cstheme="minorHAnsi"/>
          <w:sz w:val="24"/>
          <w:szCs w:val="24"/>
        </w:rPr>
        <w:t xml:space="preserve"> </w:t>
      </w:r>
      <w:r w:rsidRPr="007C47E7">
        <w:rPr>
          <w:rFonts w:cstheme="minorHAnsi"/>
          <w:sz w:val="24"/>
          <w:szCs w:val="24"/>
        </w:rPr>
        <w:t xml:space="preserve">to ODE. It is to be noted that the right of access to records remains for as long as the records are retained. It is also to be noted that if any litigation, claim or audit is started before the end of the five year period, the records shall be retained until all litigation, claim or audit findings have been resolved and final action taken. </w:t>
      </w:r>
    </w:p>
    <w:p w:rsidR="006E3BB3" w:rsidRPr="007C47E7" w:rsidRDefault="008D389E" w:rsidP="00F60776">
      <w:pPr>
        <w:spacing w:line="240" w:lineRule="auto"/>
        <w:rPr>
          <w:rFonts w:cstheme="minorHAnsi"/>
          <w:sz w:val="24"/>
          <w:szCs w:val="24"/>
        </w:rPr>
      </w:pPr>
      <w:r w:rsidRPr="007C47E7">
        <w:rPr>
          <w:rFonts w:cstheme="minorHAnsi"/>
          <w:sz w:val="24"/>
          <w:szCs w:val="24"/>
        </w:rPr>
        <w:t>All records for contractors compensated with 21</w:t>
      </w:r>
      <w:r w:rsidRPr="007C47E7">
        <w:rPr>
          <w:rFonts w:cstheme="minorHAnsi"/>
          <w:sz w:val="24"/>
          <w:szCs w:val="24"/>
          <w:vertAlign w:val="superscript"/>
        </w:rPr>
        <w:t>st</w:t>
      </w:r>
      <w:r w:rsidRPr="007C47E7">
        <w:rPr>
          <w:rFonts w:cstheme="minorHAnsi"/>
          <w:sz w:val="24"/>
          <w:szCs w:val="24"/>
        </w:rPr>
        <w:t xml:space="preserve"> CCLC funds must be retained following the same procedures listed in the preceding paragraph. This includes retaining purchase orders, invoices, receipts and any and all documentation supporting expenditures associated with the implementation of the grant award services. For further guidance pertaining to this requirement, please see </w:t>
      </w:r>
      <w:r w:rsidR="003362C8" w:rsidRPr="007C47E7">
        <w:rPr>
          <w:rFonts w:cstheme="minorHAnsi"/>
          <w:sz w:val="24"/>
          <w:szCs w:val="24"/>
        </w:rPr>
        <w:t>2 C.F.R §200.333.</w:t>
      </w:r>
    </w:p>
    <w:p w:rsidR="0001292B" w:rsidRPr="007C47E7" w:rsidRDefault="00023704" w:rsidP="00F60776">
      <w:pPr>
        <w:spacing w:line="240" w:lineRule="auto"/>
        <w:rPr>
          <w:rFonts w:cstheme="minorHAnsi"/>
          <w:sz w:val="24"/>
          <w:szCs w:val="24"/>
        </w:rPr>
      </w:pPr>
      <w:r w:rsidRPr="007C47E7">
        <w:rPr>
          <w:rFonts w:cstheme="minorHAnsi"/>
          <w:sz w:val="24"/>
          <w:szCs w:val="24"/>
        </w:rPr>
        <w:t>When establishing storage locations and records access protocols, the sub-grantee must inform the ODE 21</w:t>
      </w:r>
      <w:r w:rsidRPr="007C47E7">
        <w:rPr>
          <w:rFonts w:cstheme="minorHAnsi"/>
          <w:sz w:val="24"/>
          <w:szCs w:val="24"/>
          <w:vertAlign w:val="superscript"/>
        </w:rPr>
        <w:t>st</w:t>
      </w:r>
      <w:r w:rsidRPr="007C47E7">
        <w:rPr>
          <w:rFonts w:cstheme="minorHAnsi"/>
          <w:sz w:val="24"/>
          <w:szCs w:val="24"/>
        </w:rPr>
        <w:t xml:space="preserve"> CCLC Education Specialist in writing as to who the designated custodian of the records is and where and how the records may be accessed should the sub-grantee be subject to an audit, monitoring, or other authorized investigation. </w:t>
      </w:r>
    </w:p>
    <w:p w:rsidR="0001292B" w:rsidRPr="00675000" w:rsidRDefault="0001292B" w:rsidP="00F60776">
      <w:pPr>
        <w:spacing w:after="120" w:line="240" w:lineRule="auto"/>
        <w:rPr>
          <w:rFonts w:cstheme="minorHAnsi"/>
          <w:i/>
          <w:color w:val="FF0000"/>
          <w:sz w:val="24"/>
          <w:szCs w:val="24"/>
        </w:rPr>
      </w:pPr>
      <w:r w:rsidRPr="00675000">
        <w:rPr>
          <w:rFonts w:cstheme="minorHAnsi"/>
          <w:b/>
          <w:i/>
          <w:color w:val="FF0000"/>
          <w:sz w:val="24"/>
          <w:szCs w:val="24"/>
        </w:rPr>
        <w:t xml:space="preserve">What this means for you: </w:t>
      </w:r>
      <w:r w:rsidRPr="00675000">
        <w:rPr>
          <w:rFonts w:cstheme="minorHAnsi"/>
          <w:i/>
          <w:color w:val="FF0000"/>
          <w:sz w:val="24"/>
          <w:szCs w:val="24"/>
        </w:rPr>
        <w:t xml:space="preserve">You must keep all your program documents for five years after your grant closes. You must also inform ODE in writing who </w:t>
      </w:r>
      <w:r w:rsidR="00F60776">
        <w:rPr>
          <w:rFonts w:cstheme="minorHAnsi"/>
          <w:i/>
          <w:color w:val="FF0000"/>
          <w:sz w:val="24"/>
          <w:szCs w:val="24"/>
        </w:rPr>
        <w:t xml:space="preserve">is </w:t>
      </w:r>
      <w:r w:rsidRPr="00675000">
        <w:rPr>
          <w:rFonts w:cstheme="minorHAnsi"/>
          <w:i/>
          <w:color w:val="FF0000"/>
          <w:sz w:val="24"/>
          <w:szCs w:val="24"/>
        </w:rPr>
        <w:t>the custodian of the records and where they are located.</w:t>
      </w:r>
    </w:p>
    <w:p w:rsidR="00B00F77" w:rsidRPr="00B77E99" w:rsidRDefault="00786C82" w:rsidP="00B77E99">
      <w:pPr>
        <w:pStyle w:val="IntenseQuote"/>
        <w:spacing w:line="240" w:lineRule="auto"/>
        <w:outlineLvl w:val="0"/>
        <w:rPr>
          <w:rFonts w:cstheme="minorHAnsi"/>
          <w:sz w:val="28"/>
          <w:szCs w:val="28"/>
        </w:rPr>
      </w:pPr>
      <w:bookmarkStart w:id="3" w:name="_Toc514763947"/>
      <w:r w:rsidRPr="00B77E99">
        <w:rPr>
          <w:rFonts w:cstheme="minorHAnsi"/>
          <w:sz w:val="28"/>
          <w:szCs w:val="28"/>
        </w:rPr>
        <w:t>Equipment</w:t>
      </w:r>
      <w:bookmarkEnd w:id="3"/>
    </w:p>
    <w:p w:rsidR="00786C82" w:rsidRPr="00F60776" w:rsidRDefault="00786C82" w:rsidP="00F60776">
      <w:pPr>
        <w:spacing w:after="120" w:line="240" w:lineRule="auto"/>
        <w:rPr>
          <w:rFonts w:eastAsia="Times New Roman" w:cstheme="minorHAnsi"/>
          <w:sz w:val="24"/>
          <w:szCs w:val="24"/>
        </w:rPr>
      </w:pPr>
      <w:r w:rsidRPr="007C47E7">
        <w:rPr>
          <w:rFonts w:cstheme="minorHAnsi"/>
          <w:sz w:val="24"/>
          <w:szCs w:val="24"/>
        </w:rPr>
        <w:t xml:space="preserve">Per EDGAR, 2 C.F.R §200.33 </w:t>
      </w:r>
      <w:r w:rsidR="00F60776">
        <w:rPr>
          <w:rFonts w:eastAsia="Times New Roman" w:cstheme="minorHAnsi"/>
          <w:i/>
          <w:iCs/>
          <w:color w:val="000000"/>
          <w:sz w:val="24"/>
          <w:szCs w:val="24"/>
        </w:rPr>
        <w:t xml:space="preserve">Equipment </w:t>
      </w:r>
      <w:r w:rsidRPr="00786C82">
        <w:rPr>
          <w:rFonts w:eastAsia="Times New Roman" w:cstheme="minorHAnsi"/>
          <w:color w:val="000000"/>
          <w:sz w:val="24"/>
          <w:szCs w:val="24"/>
        </w:rPr>
        <w:t>means tangible personal property (including information technology systems) having a useful life of more than one year and a per-unit acquisition cost which equals or exceeds</w:t>
      </w:r>
      <w:r w:rsidRPr="007C47E7">
        <w:rPr>
          <w:rFonts w:eastAsia="Times New Roman" w:cstheme="minorHAnsi"/>
          <w:color w:val="000000"/>
          <w:sz w:val="24"/>
          <w:szCs w:val="24"/>
        </w:rPr>
        <w:t xml:space="preserve"> </w:t>
      </w:r>
      <w:r w:rsidRPr="00204757">
        <w:rPr>
          <w:rFonts w:eastAsia="Times New Roman" w:cstheme="minorHAnsi"/>
          <w:color w:val="000000" w:themeColor="text1"/>
          <w:sz w:val="24"/>
          <w:szCs w:val="24"/>
        </w:rPr>
        <w:t>$5,000.</w:t>
      </w:r>
    </w:p>
    <w:p w:rsidR="00786C82" w:rsidRPr="007C47E7" w:rsidRDefault="00786C82" w:rsidP="00F60776">
      <w:pPr>
        <w:spacing w:after="120" w:line="240" w:lineRule="auto"/>
        <w:rPr>
          <w:rFonts w:eastAsia="Times New Roman" w:cstheme="minorHAnsi"/>
          <w:color w:val="000000" w:themeColor="text1"/>
          <w:sz w:val="24"/>
          <w:szCs w:val="24"/>
        </w:rPr>
      </w:pPr>
      <w:r w:rsidRPr="007C47E7">
        <w:rPr>
          <w:rFonts w:eastAsia="Times New Roman" w:cstheme="minorHAnsi"/>
          <w:color w:val="000000" w:themeColor="text1"/>
          <w:sz w:val="24"/>
          <w:szCs w:val="24"/>
        </w:rPr>
        <w:t>All equipment costs acquired with 21</w:t>
      </w:r>
      <w:r w:rsidRPr="007C47E7">
        <w:rPr>
          <w:rFonts w:eastAsia="Times New Roman" w:cstheme="minorHAnsi"/>
          <w:color w:val="000000" w:themeColor="text1"/>
          <w:sz w:val="24"/>
          <w:szCs w:val="24"/>
          <w:vertAlign w:val="superscript"/>
        </w:rPr>
        <w:t>st</w:t>
      </w:r>
      <w:r w:rsidRPr="007C47E7">
        <w:rPr>
          <w:rFonts w:eastAsia="Times New Roman" w:cstheme="minorHAnsi"/>
          <w:color w:val="000000" w:themeColor="text1"/>
          <w:sz w:val="24"/>
          <w:szCs w:val="24"/>
        </w:rPr>
        <w:t xml:space="preserve"> CCLC grant funds must retain property records and be identifiable with 21</w:t>
      </w:r>
      <w:r w:rsidRPr="007C47E7">
        <w:rPr>
          <w:rFonts w:eastAsia="Times New Roman" w:cstheme="minorHAnsi"/>
          <w:color w:val="000000" w:themeColor="text1"/>
          <w:sz w:val="24"/>
          <w:szCs w:val="24"/>
          <w:vertAlign w:val="superscript"/>
        </w:rPr>
        <w:t>st</w:t>
      </w:r>
      <w:r w:rsidRPr="007C47E7">
        <w:rPr>
          <w:rFonts w:eastAsia="Times New Roman" w:cstheme="minorHAnsi"/>
          <w:color w:val="000000" w:themeColor="text1"/>
          <w:sz w:val="24"/>
          <w:szCs w:val="24"/>
        </w:rPr>
        <w:t xml:space="preserve"> CCLC property and records for equipment must be retained for 5 years after the grant ends. </w:t>
      </w:r>
    </w:p>
    <w:p w:rsidR="00C27F88" w:rsidRPr="007C47E7" w:rsidRDefault="00EC3AA8" w:rsidP="00F60776">
      <w:pPr>
        <w:spacing w:after="120" w:line="240" w:lineRule="auto"/>
        <w:rPr>
          <w:rFonts w:cstheme="minorHAnsi"/>
          <w:sz w:val="24"/>
          <w:szCs w:val="24"/>
        </w:rPr>
      </w:pPr>
      <w:r w:rsidRPr="007C47E7">
        <w:rPr>
          <w:rFonts w:cstheme="minorHAnsi"/>
          <w:sz w:val="24"/>
          <w:szCs w:val="24"/>
        </w:rPr>
        <w:t>Per EDGAR, 2 C.F.R. §200.313 (c) (i) and (ii); if the program continues once grant funds cease, the program may continue to use the equipment that was previously acquired. If the equipment is no longer needed they must offer to transfer 21st CCLC equipment/capital outlay items to other programs or projects currently or previously supported by Federal funds, such as other 21st CCLC programs located within the district/area of the current grant first and then to other federal educational programs such as Title I.</w:t>
      </w:r>
    </w:p>
    <w:p w:rsidR="00EC3AA8" w:rsidRPr="00675000" w:rsidRDefault="00EC3AA8" w:rsidP="00F60776">
      <w:pPr>
        <w:spacing w:after="120" w:line="240" w:lineRule="auto"/>
        <w:rPr>
          <w:rFonts w:cstheme="minorHAnsi"/>
          <w:color w:val="000000" w:themeColor="text1"/>
          <w:sz w:val="24"/>
          <w:szCs w:val="24"/>
        </w:rPr>
      </w:pPr>
      <w:r w:rsidRPr="00F60776">
        <w:rPr>
          <w:rFonts w:cstheme="minorHAnsi"/>
          <w:b/>
          <w:i/>
          <w:sz w:val="24"/>
          <w:szCs w:val="24"/>
          <w:u w:val="single"/>
        </w:rPr>
        <w:t>If no Federal program accepts the equipment</w:t>
      </w:r>
      <w:r w:rsidRPr="00F60776">
        <w:rPr>
          <w:rFonts w:cstheme="minorHAnsi"/>
          <w:i/>
          <w:sz w:val="24"/>
          <w:szCs w:val="24"/>
        </w:rPr>
        <w:t>,</w:t>
      </w:r>
      <w:r w:rsidRPr="007C47E7">
        <w:rPr>
          <w:rFonts w:cstheme="minorHAnsi"/>
          <w:sz w:val="24"/>
          <w:szCs w:val="24"/>
        </w:rPr>
        <w:t xml:space="preserve"> disposition of the equipment must be made as follows: Items of equipment with a current per-unit fair market value of less than $5,000 may be retained, sold, or otherwise disposed of w</w:t>
      </w:r>
      <w:r w:rsidR="006E3BB3" w:rsidRPr="007C47E7">
        <w:rPr>
          <w:rFonts w:cstheme="minorHAnsi"/>
          <w:sz w:val="24"/>
          <w:szCs w:val="24"/>
        </w:rPr>
        <w:t>ith no further obligation to ODE</w:t>
      </w:r>
      <w:r w:rsidRPr="007C47E7">
        <w:rPr>
          <w:rFonts w:cstheme="minorHAnsi"/>
          <w:sz w:val="24"/>
          <w:szCs w:val="24"/>
        </w:rPr>
        <w:t>. Items over $5,0</w:t>
      </w:r>
      <w:r w:rsidR="006E3BB3" w:rsidRPr="007C47E7">
        <w:rPr>
          <w:rFonts w:cstheme="minorHAnsi"/>
          <w:sz w:val="24"/>
          <w:szCs w:val="24"/>
        </w:rPr>
        <w:t>00 require approval from the 21</w:t>
      </w:r>
      <w:r w:rsidR="006E3BB3" w:rsidRPr="007C47E7">
        <w:rPr>
          <w:rFonts w:cstheme="minorHAnsi"/>
          <w:sz w:val="24"/>
          <w:szCs w:val="24"/>
          <w:vertAlign w:val="superscript"/>
        </w:rPr>
        <w:t>st</w:t>
      </w:r>
      <w:r w:rsidR="006E3BB3" w:rsidRPr="007C47E7">
        <w:rPr>
          <w:rFonts w:cstheme="minorHAnsi"/>
          <w:sz w:val="24"/>
          <w:szCs w:val="24"/>
        </w:rPr>
        <w:t xml:space="preserve"> CCLC Education Specialist</w:t>
      </w:r>
      <w:r w:rsidRPr="007C47E7">
        <w:rPr>
          <w:rFonts w:cstheme="minorHAnsi"/>
          <w:sz w:val="24"/>
          <w:szCs w:val="24"/>
        </w:rPr>
        <w:t xml:space="preserve"> prior to disposal and procedures outlined in 2 C.F.R §200.313 will be followed.</w:t>
      </w:r>
      <w:r w:rsidR="00675000">
        <w:rPr>
          <w:rFonts w:cstheme="minorHAnsi"/>
          <w:sz w:val="24"/>
          <w:szCs w:val="24"/>
        </w:rPr>
        <w:t xml:space="preserve"> </w:t>
      </w:r>
      <w:r w:rsidR="00675000" w:rsidRPr="007C47E7">
        <w:rPr>
          <w:rFonts w:cstheme="minorHAnsi"/>
          <w:color w:val="000000" w:themeColor="text1"/>
          <w:sz w:val="24"/>
          <w:szCs w:val="24"/>
        </w:rPr>
        <w:t>ODE will provide written approval/denial of the equipment disposition request within 30 days after receipt of</w:t>
      </w:r>
      <w:r w:rsidR="00675000">
        <w:rPr>
          <w:rFonts w:cstheme="minorHAnsi"/>
          <w:color w:val="000000" w:themeColor="text1"/>
          <w:sz w:val="24"/>
          <w:szCs w:val="24"/>
        </w:rPr>
        <w:t xml:space="preserve"> request.</w:t>
      </w:r>
    </w:p>
    <w:p w:rsidR="0001292B" w:rsidRPr="00675000" w:rsidRDefault="00EC3AA8" w:rsidP="00F60776">
      <w:pPr>
        <w:spacing w:after="120" w:line="240" w:lineRule="auto"/>
        <w:rPr>
          <w:rFonts w:cstheme="minorHAnsi"/>
          <w:i/>
          <w:color w:val="FF0000"/>
          <w:sz w:val="24"/>
          <w:szCs w:val="24"/>
        </w:rPr>
      </w:pPr>
      <w:r w:rsidRPr="00675000">
        <w:rPr>
          <w:rFonts w:cstheme="minorHAnsi"/>
          <w:b/>
          <w:i/>
          <w:color w:val="FF0000"/>
          <w:sz w:val="24"/>
          <w:szCs w:val="24"/>
        </w:rPr>
        <w:t xml:space="preserve">What this means for you: </w:t>
      </w:r>
      <w:r w:rsidRPr="00675000">
        <w:rPr>
          <w:rFonts w:cstheme="minorHAnsi"/>
          <w:i/>
          <w:color w:val="FF0000"/>
          <w:sz w:val="24"/>
          <w:szCs w:val="24"/>
        </w:rPr>
        <w:t xml:space="preserve">Any equipment with a value of </w:t>
      </w:r>
      <w:r w:rsidR="00A61A00" w:rsidRPr="00675000">
        <w:rPr>
          <w:rFonts w:cstheme="minorHAnsi"/>
          <w:i/>
          <w:color w:val="FF0000"/>
          <w:sz w:val="24"/>
          <w:szCs w:val="24"/>
        </w:rPr>
        <w:t>$5,000</w:t>
      </w:r>
      <w:r w:rsidRPr="00675000">
        <w:rPr>
          <w:rFonts w:cstheme="minorHAnsi"/>
          <w:i/>
          <w:color w:val="FF0000"/>
          <w:sz w:val="24"/>
          <w:szCs w:val="24"/>
        </w:rPr>
        <w:t xml:space="preserve"> or greater </w:t>
      </w:r>
      <w:r w:rsidR="0001292B" w:rsidRPr="00675000">
        <w:rPr>
          <w:rFonts w:cstheme="minorHAnsi"/>
          <w:i/>
          <w:color w:val="FF0000"/>
          <w:sz w:val="24"/>
          <w:szCs w:val="24"/>
        </w:rPr>
        <w:t>must be reported to ODE</w:t>
      </w:r>
      <w:r w:rsidRPr="00675000">
        <w:rPr>
          <w:rFonts w:cstheme="minorHAnsi"/>
          <w:i/>
          <w:color w:val="FF0000"/>
          <w:sz w:val="24"/>
          <w:szCs w:val="24"/>
        </w:rPr>
        <w:t xml:space="preserve"> and the disposition status </w:t>
      </w:r>
      <w:r w:rsidR="00B91AD2" w:rsidRPr="00675000">
        <w:rPr>
          <w:rFonts w:cstheme="minorHAnsi"/>
          <w:i/>
          <w:color w:val="FF0000"/>
          <w:sz w:val="24"/>
          <w:szCs w:val="24"/>
        </w:rPr>
        <w:t>approved prior to action taken.</w:t>
      </w:r>
    </w:p>
    <w:p w:rsidR="0001292B" w:rsidRDefault="0001292B" w:rsidP="00F60776">
      <w:pPr>
        <w:spacing w:after="120" w:line="240" w:lineRule="auto"/>
        <w:rPr>
          <w:rFonts w:cstheme="minorHAnsi"/>
          <w:sz w:val="24"/>
          <w:szCs w:val="24"/>
        </w:rPr>
      </w:pPr>
      <w:r w:rsidRPr="007C47E7">
        <w:rPr>
          <w:rFonts w:cstheme="minorHAnsi"/>
          <w:sz w:val="24"/>
          <w:szCs w:val="24"/>
        </w:rPr>
        <w:t>Equipment Inventory and Disposition Records: Below is the required Inventory and Disposition Records regarding equipment including computer hardware and software, with a current per-unit fair market value of more than $250 individually or cumulative value or greater (regardless of original cost):</w:t>
      </w:r>
    </w:p>
    <w:p w:rsidR="00C37CB3" w:rsidRPr="007C47E7" w:rsidRDefault="00B91AD2" w:rsidP="00F60776">
      <w:pPr>
        <w:spacing w:after="120" w:line="240" w:lineRule="auto"/>
        <w:rPr>
          <w:rFonts w:cstheme="minorHAnsi"/>
          <w:sz w:val="24"/>
          <w:szCs w:val="24"/>
        </w:rPr>
      </w:pPr>
      <w:r>
        <w:rPr>
          <w:rFonts w:cstheme="minorHAnsi"/>
          <w:sz w:val="24"/>
          <w:szCs w:val="24"/>
        </w:rPr>
        <w:t>Copy and paste the information below into a document and keep with your records.</w:t>
      </w:r>
      <w:r w:rsidR="00C37CB3">
        <w:rPr>
          <w:rFonts w:cstheme="minorHAnsi"/>
          <w:sz w:val="24"/>
          <w:szCs w:val="24"/>
        </w:rPr>
        <w:t xml:space="preserve"> You do not need to send this form to ODE unless requested.</w:t>
      </w:r>
    </w:p>
    <w:tbl>
      <w:tblPr>
        <w:tblStyle w:val="TableGrid"/>
        <w:tblW w:w="10350" w:type="dxa"/>
        <w:tblInd w:w="-365" w:type="dxa"/>
        <w:tblLook w:val="04A0" w:firstRow="1" w:lastRow="0" w:firstColumn="1" w:lastColumn="0" w:noHBand="0" w:noVBand="1"/>
      </w:tblPr>
      <w:tblGrid>
        <w:gridCol w:w="963"/>
        <w:gridCol w:w="1076"/>
        <w:gridCol w:w="950"/>
        <w:gridCol w:w="974"/>
        <w:gridCol w:w="974"/>
        <w:gridCol w:w="1067"/>
        <w:gridCol w:w="911"/>
        <w:gridCol w:w="1032"/>
        <w:gridCol w:w="1163"/>
        <w:gridCol w:w="1240"/>
      </w:tblGrid>
      <w:tr w:rsidR="00AF25F2" w:rsidRPr="007C47E7" w:rsidTr="0039216F">
        <w:trPr>
          <w:trHeight w:val="864"/>
        </w:trPr>
        <w:tc>
          <w:tcPr>
            <w:tcW w:w="2989" w:type="dxa"/>
            <w:gridSpan w:val="3"/>
            <w:shd w:val="clear" w:color="auto" w:fill="D9D9D9" w:themeFill="background1" w:themeFillShade="D9"/>
            <w:vAlign w:val="center"/>
          </w:tcPr>
          <w:p w:rsidR="00AF25F2" w:rsidRPr="00CE428D" w:rsidRDefault="00AF25F2" w:rsidP="00AF25F2">
            <w:pPr>
              <w:tabs>
                <w:tab w:val="left" w:pos="930"/>
              </w:tabs>
              <w:jc w:val="center"/>
              <w:rPr>
                <w:rFonts w:cstheme="minorHAnsi"/>
                <w:color w:val="000000" w:themeColor="text1"/>
                <w:sz w:val="20"/>
                <w:szCs w:val="20"/>
              </w:rPr>
            </w:pPr>
            <w:r w:rsidRPr="00CE428D">
              <w:rPr>
                <w:rFonts w:cstheme="minorHAnsi"/>
                <w:color w:val="000000" w:themeColor="text1"/>
                <w:sz w:val="20"/>
                <w:szCs w:val="20"/>
              </w:rPr>
              <w:t>Equipment</w:t>
            </w:r>
          </w:p>
        </w:tc>
        <w:tc>
          <w:tcPr>
            <w:tcW w:w="7361" w:type="dxa"/>
            <w:gridSpan w:val="7"/>
            <w:shd w:val="clear" w:color="auto" w:fill="F2F2F2" w:themeFill="background1" w:themeFillShade="F2"/>
            <w:vAlign w:val="center"/>
          </w:tcPr>
          <w:p w:rsidR="00AF25F2" w:rsidRPr="00CE428D" w:rsidRDefault="00AF25F2" w:rsidP="008A42E4">
            <w:pPr>
              <w:tabs>
                <w:tab w:val="left" w:pos="930"/>
              </w:tabs>
              <w:rPr>
                <w:rFonts w:cstheme="minorHAnsi"/>
                <w:color w:val="000000" w:themeColor="text1"/>
                <w:sz w:val="20"/>
                <w:szCs w:val="20"/>
              </w:rPr>
            </w:pPr>
            <w:r w:rsidRPr="00CE428D">
              <w:rPr>
                <w:rFonts w:cstheme="minorHAnsi"/>
                <w:color w:val="000000" w:themeColor="text1"/>
                <w:sz w:val="20"/>
                <w:szCs w:val="20"/>
              </w:rPr>
              <w:t>All tangible personal property having a useful life of more than one year and a per-unit acquisition cost which equals or exceeds $________</w:t>
            </w:r>
          </w:p>
        </w:tc>
      </w:tr>
      <w:tr w:rsidR="00AF25F2" w:rsidRPr="007C47E7" w:rsidTr="0039216F">
        <w:trPr>
          <w:trHeight w:val="576"/>
        </w:trPr>
        <w:tc>
          <w:tcPr>
            <w:tcW w:w="963" w:type="dxa"/>
            <w:vAlign w:val="center"/>
          </w:tcPr>
          <w:p w:rsidR="00AF25F2" w:rsidRPr="00B91AD2" w:rsidRDefault="00AF25F2" w:rsidP="00AF25F2">
            <w:pPr>
              <w:jc w:val="center"/>
              <w:rPr>
                <w:rFonts w:cstheme="minorHAnsi"/>
                <w:b/>
                <w:color w:val="000000" w:themeColor="text1"/>
                <w:sz w:val="18"/>
                <w:szCs w:val="18"/>
              </w:rPr>
            </w:pPr>
            <w:r w:rsidRPr="00B91AD2">
              <w:rPr>
                <w:rFonts w:cstheme="minorHAnsi"/>
                <w:b/>
                <w:color w:val="000000" w:themeColor="text1"/>
                <w:sz w:val="18"/>
                <w:szCs w:val="18"/>
              </w:rPr>
              <w:t>Serial/ID Number</w:t>
            </w:r>
          </w:p>
        </w:tc>
        <w:tc>
          <w:tcPr>
            <w:tcW w:w="1076" w:type="dxa"/>
            <w:vAlign w:val="center"/>
          </w:tcPr>
          <w:p w:rsidR="00AF25F2" w:rsidRPr="00B91AD2" w:rsidRDefault="00AF25F2" w:rsidP="00AF25F2">
            <w:pPr>
              <w:jc w:val="center"/>
              <w:rPr>
                <w:rFonts w:cstheme="minorHAnsi"/>
                <w:b/>
                <w:color w:val="000000" w:themeColor="text1"/>
                <w:sz w:val="18"/>
                <w:szCs w:val="18"/>
              </w:rPr>
            </w:pPr>
            <w:r w:rsidRPr="00B91AD2">
              <w:rPr>
                <w:rFonts w:cstheme="minorHAnsi"/>
                <w:b/>
                <w:color w:val="000000" w:themeColor="text1"/>
                <w:sz w:val="18"/>
                <w:szCs w:val="18"/>
              </w:rPr>
              <w:t>Item Description</w:t>
            </w:r>
          </w:p>
        </w:tc>
        <w:tc>
          <w:tcPr>
            <w:tcW w:w="950" w:type="dxa"/>
            <w:vAlign w:val="center"/>
          </w:tcPr>
          <w:p w:rsidR="00AF25F2" w:rsidRPr="00B91AD2" w:rsidRDefault="00AF25F2" w:rsidP="00AF25F2">
            <w:pPr>
              <w:jc w:val="center"/>
              <w:rPr>
                <w:rFonts w:cstheme="minorHAnsi"/>
                <w:b/>
                <w:color w:val="000000" w:themeColor="text1"/>
                <w:sz w:val="18"/>
                <w:szCs w:val="18"/>
              </w:rPr>
            </w:pPr>
            <w:r w:rsidRPr="00B91AD2">
              <w:rPr>
                <w:rFonts w:cstheme="minorHAnsi"/>
                <w:b/>
                <w:color w:val="000000" w:themeColor="text1"/>
                <w:sz w:val="18"/>
                <w:szCs w:val="18"/>
              </w:rPr>
              <w:t>Item Location</w:t>
            </w:r>
          </w:p>
        </w:tc>
        <w:tc>
          <w:tcPr>
            <w:tcW w:w="974" w:type="dxa"/>
            <w:vAlign w:val="center"/>
          </w:tcPr>
          <w:p w:rsidR="00AF25F2" w:rsidRPr="00B91AD2" w:rsidRDefault="00AF25F2" w:rsidP="00AF25F2">
            <w:pPr>
              <w:jc w:val="center"/>
              <w:rPr>
                <w:rFonts w:cstheme="minorHAnsi"/>
                <w:b/>
                <w:color w:val="000000" w:themeColor="text1"/>
                <w:sz w:val="18"/>
                <w:szCs w:val="18"/>
              </w:rPr>
            </w:pPr>
            <w:r w:rsidRPr="00B91AD2">
              <w:rPr>
                <w:rFonts w:cstheme="minorHAnsi"/>
                <w:b/>
                <w:color w:val="000000" w:themeColor="text1"/>
                <w:sz w:val="18"/>
                <w:szCs w:val="18"/>
              </w:rPr>
              <w:t>Purchase Price</w:t>
            </w:r>
          </w:p>
        </w:tc>
        <w:tc>
          <w:tcPr>
            <w:tcW w:w="974" w:type="dxa"/>
            <w:vAlign w:val="center"/>
          </w:tcPr>
          <w:p w:rsidR="00AF25F2" w:rsidRPr="00B91AD2" w:rsidRDefault="00AF25F2" w:rsidP="00AF25F2">
            <w:pPr>
              <w:jc w:val="center"/>
              <w:rPr>
                <w:rFonts w:cstheme="minorHAnsi"/>
                <w:b/>
                <w:color w:val="000000" w:themeColor="text1"/>
                <w:sz w:val="18"/>
                <w:szCs w:val="18"/>
              </w:rPr>
            </w:pPr>
            <w:r w:rsidRPr="00B91AD2">
              <w:rPr>
                <w:rFonts w:cstheme="minorHAnsi"/>
                <w:b/>
                <w:color w:val="000000" w:themeColor="text1"/>
                <w:sz w:val="18"/>
                <w:szCs w:val="18"/>
              </w:rPr>
              <w:t>Purchase Date</w:t>
            </w:r>
          </w:p>
        </w:tc>
        <w:tc>
          <w:tcPr>
            <w:tcW w:w="1067" w:type="dxa"/>
            <w:vAlign w:val="center"/>
          </w:tcPr>
          <w:p w:rsidR="00AF25F2" w:rsidRPr="00B91AD2" w:rsidRDefault="00AF25F2" w:rsidP="00AF25F2">
            <w:pPr>
              <w:jc w:val="center"/>
              <w:rPr>
                <w:rFonts w:cstheme="minorHAnsi"/>
                <w:b/>
                <w:color w:val="000000" w:themeColor="text1"/>
                <w:sz w:val="18"/>
                <w:szCs w:val="18"/>
              </w:rPr>
            </w:pPr>
            <w:r w:rsidRPr="00B91AD2">
              <w:rPr>
                <w:rFonts w:cstheme="minorHAnsi"/>
                <w:b/>
                <w:color w:val="000000" w:themeColor="text1"/>
                <w:sz w:val="18"/>
                <w:szCs w:val="18"/>
              </w:rPr>
              <w:t>Percentage of 21</w:t>
            </w:r>
            <w:r w:rsidRPr="00B91AD2">
              <w:rPr>
                <w:rFonts w:cstheme="minorHAnsi"/>
                <w:b/>
                <w:color w:val="000000" w:themeColor="text1"/>
                <w:sz w:val="18"/>
                <w:szCs w:val="18"/>
                <w:vertAlign w:val="superscript"/>
              </w:rPr>
              <w:t>st</w:t>
            </w:r>
            <w:r w:rsidRPr="00B91AD2">
              <w:rPr>
                <w:rFonts w:cstheme="minorHAnsi"/>
                <w:b/>
                <w:color w:val="000000" w:themeColor="text1"/>
                <w:sz w:val="18"/>
                <w:szCs w:val="18"/>
              </w:rPr>
              <w:t xml:space="preserve"> CCLC funds used for purchase</w:t>
            </w:r>
          </w:p>
        </w:tc>
        <w:tc>
          <w:tcPr>
            <w:tcW w:w="911" w:type="dxa"/>
            <w:vAlign w:val="center"/>
          </w:tcPr>
          <w:p w:rsidR="00AF25F2" w:rsidRPr="00B91AD2" w:rsidRDefault="00AF25F2" w:rsidP="00AF25F2">
            <w:pPr>
              <w:jc w:val="center"/>
              <w:rPr>
                <w:rFonts w:cstheme="minorHAnsi"/>
                <w:b/>
                <w:color w:val="000000" w:themeColor="text1"/>
                <w:sz w:val="18"/>
                <w:szCs w:val="18"/>
              </w:rPr>
            </w:pPr>
            <w:r w:rsidRPr="00B91AD2">
              <w:rPr>
                <w:rFonts w:cstheme="minorHAnsi"/>
                <w:b/>
                <w:color w:val="000000" w:themeColor="text1"/>
                <w:sz w:val="18"/>
                <w:szCs w:val="18"/>
              </w:rPr>
              <w:t>Current Per Unit Fair Market Value</w:t>
            </w:r>
          </w:p>
        </w:tc>
        <w:tc>
          <w:tcPr>
            <w:tcW w:w="1032" w:type="dxa"/>
            <w:vAlign w:val="center"/>
          </w:tcPr>
          <w:p w:rsidR="00AF25F2" w:rsidRPr="00B91AD2" w:rsidRDefault="00AF25F2" w:rsidP="00AF25F2">
            <w:pPr>
              <w:jc w:val="center"/>
              <w:rPr>
                <w:rFonts w:cstheme="minorHAnsi"/>
                <w:b/>
                <w:color w:val="000000" w:themeColor="text1"/>
                <w:sz w:val="18"/>
                <w:szCs w:val="18"/>
              </w:rPr>
            </w:pPr>
            <w:r w:rsidRPr="00B91AD2">
              <w:rPr>
                <w:rFonts w:cstheme="minorHAnsi"/>
                <w:b/>
                <w:color w:val="000000" w:themeColor="text1"/>
                <w:sz w:val="18"/>
                <w:szCs w:val="18"/>
              </w:rPr>
              <w:t>Condition: Good, Fair, Poor</w:t>
            </w:r>
          </w:p>
        </w:tc>
        <w:tc>
          <w:tcPr>
            <w:tcW w:w="1163" w:type="dxa"/>
            <w:vAlign w:val="center"/>
          </w:tcPr>
          <w:p w:rsidR="00AF25F2" w:rsidRPr="00B91AD2" w:rsidRDefault="00AF25F2" w:rsidP="00AF25F2">
            <w:pPr>
              <w:jc w:val="center"/>
              <w:rPr>
                <w:rFonts w:cstheme="minorHAnsi"/>
                <w:b/>
                <w:color w:val="000000" w:themeColor="text1"/>
                <w:sz w:val="18"/>
                <w:szCs w:val="18"/>
              </w:rPr>
            </w:pPr>
            <w:r w:rsidRPr="00B91AD2">
              <w:rPr>
                <w:rFonts w:cstheme="minorHAnsi"/>
                <w:b/>
                <w:color w:val="000000" w:themeColor="text1"/>
                <w:sz w:val="18"/>
                <w:szCs w:val="18"/>
              </w:rPr>
              <w:t>Disposition Status: Retain, Sold, Etc.</w:t>
            </w:r>
          </w:p>
        </w:tc>
        <w:tc>
          <w:tcPr>
            <w:tcW w:w="1240" w:type="dxa"/>
            <w:vAlign w:val="center"/>
          </w:tcPr>
          <w:p w:rsidR="00AF25F2" w:rsidRPr="00B91AD2" w:rsidRDefault="00AF25F2" w:rsidP="00AF25F2">
            <w:pPr>
              <w:jc w:val="center"/>
              <w:rPr>
                <w:rFonts w:cstheme="minorHAnsi"/>
                <w:b/>
                <w:color w:val="000000" w:themeColor="text1"/>
                <w:sz w:val="18"/>
                <w:szCs w:val="18"/>
              </w:rPr>
            </w:pPr>
            <w:r w:rsidRPr="00B91AD2">
              <w:rPr>
                <w:rFonts w:cstheme="minorHAnsi"/>
                <w:b/>
                <w:color w:val="000000" w:themeColor="text1"/>
                <w:sz w:val="18"/>
                <w:szCs w:val="18"/>
              </w:rPr>
              <w:t>If transferred: Organization &amp; Location Transferred To</w:t>
            </w:r>
          </w:p>
        </w:tc>
      </w:tr>
    </w:tbl>
    <w:p w:rsidR="008A42E4" w:rsidRPr="00B77E99" w:rsidRDefault="008A42E4" w:rsidP="00B77E99">
      <w:pPr>
        <w:pStyle w:val="IntenseQuote"/>
        <w:spacing w:line="240" w:lineRule="auto"/>
        <w:outlineLvl w:val="0"/>
        <w:rPr>
          <w:rFonts w:cstheme="minorHAnsi"/>
          <w:sz w:val="28"/>
          <w:szCs w:val="28"/>
        </w:rPr>
      </w:pPr>
      <w:bookmarkStart w:id="4" w:name="_Toc514763948"/>
      <w:bookmarkStart w:id="5" w:name="_GoBack"/>
      <w:bookmarkEnd w:id="5"/>
      <w:r w:rsidRPr="00B77E99">
        <w:rPr>
          <w:rFonts w:cstheme="minorHAnsi"/>
          <w:sz w:val="28"/>
          <w:szCs w:val="28"/>
        </w:rPr>
        <w:t>Supplies</w:t>
      </w:r>
      <w:bookmarkEnd w:id="4"/>
    </w:p>
    <w:p w:rsidR="008A42E4" w:rsidRPr="007C47E7" w:rsidRDefault="008A42E4" w:rsidP="00AC4455">
      <w:pPr>
        <w:spacing w:after="120" w:line="240" w:lineRule="auto"/>
        <w:rPr>
          <w:rFonts w:cstheme="minorHAnsi"/>
          <w:sz w:val="24"/>
          <w:szCs w:val="24"/>
        </w:rPr>
      </w:pPr>
      <w:r w:rsidRPr="007C47E7">
        <w:rPr>
          <w:rFonts w:cstheme="minorHAnsi"/>
          <w:sz w:val="24"/>
          <w:szCs w:val="24"/>
        </w:rPr>
        <w:t>Supplies (2 C.F.R. §200.94): All tangible personal property other than those described in equipment and/or a computing device is a supply if the acquisition cost is less than $250.</w:t>
      </w:r>
    </w:p>
    <w:p w:rsidR="001D15AC" w:rsidRPr="007C47E7" w:rsidRDefault="008A42E4" w:rsidP="00AC4455">
      <w:pPr>
        <w:spacing w:after="120" w:line="240" w:lineRule="auto"/>
        <w:rPr>
          <w:rFonts w:cstheme="minorHAnsi"/>
          <w:sz w:val="24"/>
          <w:szCs w:val="24"/>
        </w:rPr>
      </w:pPr>
      <w:r w:rsidRPr="007C47E7">
        <w:rPr>
          <w:rFonts w:cstheme="minorHAnsi"/>
          <w:sz w:val="24"/>
          <w:szCs w:val="24"/>
        </w:rPr>
        <w:t xml:space="preserve">If there is residual inventory of unused supplies exceeding $5,000 in total aggregate fair market value upon the termination or completion of the project or program and the supplies are not needed for any other Federal award, the non-Federal entity must retain the supplies for use on other activities or sell them, but must, in either case, compensate the Federal government for its share. (2 C.F.R. §200.314 (a)) </w:t>
      </w:r>
    </w:p>
    <w:p w:rsidR="008A42E4" w:rsidRPr="00675000" w:rsidRDefault="008A42E4" w:rsidP="00AC4455">
      <w:pPr>
        <w:spacing w:after="120" w:line="240" w:lineRule="auto"/>
        <w:rPr>
          <w:rFonts w:cstheme="minorHAnsi"/>
          <w:i/>
          <w:color w:val="FF0000"/>
          <w:sz w:val="24"/>
          <w:szCs w:val="24"/>
        </w:rPr>
      </w:pPr>
      <w:r w:rsidRPr="00675000">
        <w:rPr>
          <w:rFonts w:cstheme="minorHAnsi"/>
          <w:b/>
          <w:i/>
          <w:color w:val="FF0000"/>
          <w:sz w:val="24"/>
          <w:szCs w:val="24"/>
        </w:rPr>
        <w:t xml:space="preserve">What this means for you: </w:t>
      </w:r>
      <w:r w:rsidRPr="00675000">
        <w:rPr>
          <w:rFonts w:cstheme="minorHAnsi"/>
          <w:i/>
          <w:color w:val="FF0000"/>
          <w:sz w:val="24"/>
          <w:szCs w:val="24"/>
        </w:rPr>
        <w:t xml:space="preserve">Any supplies with an aggregated value of $5,000 or greater must be reported to ODE and the disposition status approved prior to action taken. </w:t>
      </w:r>
    </w:p>
    <w:p w:rsidR="008A42E4" w:rsidRPr="007C47E7" w:rsidRDefault="008A42E4" w:rsidP="00AC4455">
      <w:pPr>
        <w:spacing w:after="120" w:line="240" w:lineRule="auto"/>
        <w:rPr>
          <w:rFonts w:cstheme="minorHAnsi"/>
          <w:sz w:val="24"/>
          <w:szCs w:val="24"/>
        </w:rPr>
      </w:pPr>
      <w:r w:rsidRPr="007C47E7">
        <w:rPr>
          <w:rFonts w:cstheme="minorHAnsi"/>
          <w:sz w:val="24"/>
          <w:szCs w:val="24"/>
        </w:rPr>
        <w:t xml:space="preserve">Below is the required </w:t>
      </w:r>
      <w:r w:rsidR="00B77E99">
        <w:rPr>
          <w:rFonts w:cstheme="minorHAnsi"/>
          <w:sz w:val="24"/>
          <w:szCs w:val="24"/>
        </w:rPr>
        <w:t>Supply I</w:t>
      </w:r>
      <w:r w:rsidRPr="007C47E7">
        <w:rPr>
          <w:rFonts w:cstheme="minorHAnsi"/>
          <w:sz w:val="24"/>
          <w:szCs w:val="24"/>
        </w:rPr>
        <w:t>nventory and Disposition Records.</w:t>
      </w:r>
      <w:r w:rsidR="00B91AD2">
        <w:rPr>
          <w:rFonts w:cstheme="minorHAnsi"/>
          <w:sz w:val="24"/>
          <w:szCs w:val="24"/>
        </w:rPr>
        <w:t xml:space="preserve"> Copy and paste the information below into a document and keep with your records.</w:t>
      </w:r>
      <w:r w:rsidR="00C37CB3">
        <w:rPr>
          <w:rFonts w:cstheme="minorHAnsi"/>
          <w:sz w:val="24"/>
          <w:szCs w:val="24"/>
        </w:rPr>
        <w:t xml:space="preserve"> You do not need to send this form to ODE unless requested.</w:t>
      </w:r>
    </w:p>
    <w:tbl>
      <w:tblPr>
        <w:tblStyle w:val="TableGrid"/>
        <w:tblW w:w="10530" w:type="dxa"/>
        <w:tblInd w:w="-635" w:type="dxa"/>
        <w:tblLook w:val="04A0" w:firstRow="1" w:lastRow="0" w:firstColumn="1" w:lastColumn="0" w:noHBand="0" w:noVBand="1"/>
      </w:tblPr>
      <w:tblGrid>
        <w:gridCol w:w="913"/>
        <w:gridCol w:w="1170"/>
        <w:gridCol w:w="938"/>
        <w:gridCol w:w="983"/>
        <w:gridCol w:w="983"/>
        <w:gridCol w:w="1043"/>
        <w:gridCol w:w="1080"/>
        <w:gridCol w:w="1080"/>
        <w:gridCol w:w="1170"/>
        <w:gridCol w:w="1170"/>
      </w:tblGrid>
      <w:tr w:rsidR="00A62104" w:rsidRPr="007C47E7" w:rsidTr="0092464D">
        <w:tc>
          <w:tcPr>
            <w:tcW w:w="913" w:type="dxa"/>
            <w:shd w:val="clear" w:color="auto" w:fill="D9D9D9" w:themeFill="background1" w:themeFillShade="D9"/>
            <w:vAlign w:val="center"/>
          </w:tcPr>
          <w:p w:rsidR="008A42E4" w:rsidRPr="00A62104" w:rsidRDefault="008A42E4" w:rsidP="004C032C">
            <w:pPr>
              <w:jc w:val="center"/>
              <w:rPr>
                <w:rFonts w:cstheme="minorHAnsi"/>
                <w:b/>
                <w:color w:val="000000" w:themeColor="text1"/>
                <w:sz w:val="16"/>
                <w:szCs w:val="16"/>
              </w:rPr>
            </w:pPr>
            <w:r w:rsidRPr="00A62104">
              <w:rPr>
                <w:rFonts w:cstheme="minorHAnsi"/>
                <w:b/>
                <w:color w:val="000000" w:themeColor="text1"/>
                <w:sz w:val="16"/>
                <w:szCs w:val="16"/>
              </w:rPr>
              <w:t>Serial/ ID Number</w:t>
            </w:r>
          </w:p>
        </w:tc>
        <w:tc>
          <w:tcPr>
            <w:tcW w:w="1170" w:type="dxa"/>
            <w:shd w:val="clear" w:color="auto" w:fill="D9D9D9" w:themeFill="background1" w:themeFillShade="D9"/>
            <w:vAlign w:val="center"/>
          </w:tcPr>
          <w:p w:rsidR="008A42E4" w:rsidRPr="00A62104" w:rsidRDefault="008A42E4" w:rsidP="004C032C">
            <w:pPr>
              <w:jc w:val="center"/>
              <w:rPr>
                <w:rFonts w:cstheme="minorHAnsi"/>
                <w:b/>
                <w:color w:val="000000" w:themeColor="text1"/>
                <w:sz w:val="16"/>
                <w:szCs w:val="16"/>
              </w:rPr>
            </w:pPr>
            <w:r w:rsidRPr="00A62104">
              <w:rPr>
                <w:rFonts w:cstheme="minorHAnsi"/>
                <w:b/>
                <w:color w:val="000000" w:themeColor="text1"/>
                <w:sz w:val="16"/>
                <w:szCs w:val="16"/>
              </w:rPr>
              <w:t>Item Description</w:t>
            </w:r>
          </w:p>
        </w:tc>
        <w:tc>
          <w:tcPr>
            <w:tcW w:w="938" w:type="dxa"/>
            <w:shd w:val="clear" w:color="auto" w:fill="D9D9D9" w:themeFill="background1" w:themeFillShade="D9"/>
            <w:vAlign w:val="center"/>
          </w:tcPr>
          <w:p w:rsidR="008A42E4" w:rsidRPr="00A62104" w:rsidRDefault="008A42E4" w:rsidP="004C032C">
            <w:pPr>
              <w:jc w:val="center"/>
              <w:rPr>
                <w:rFonts w:cstheme="minorHAnsi"/>
                <w:b/>
                <w:color w:val="000000" w:themeColor="text1"/>
                <w:sz w:val="16"/>
                <w:szCs w:val="16"/>
              </w:rPr>
            </w:pPr>
            <w:r w:rsidRPr="00A62104">
              <w:rPr>
                <w:rFonts w:cstheme="minorHAnsi"/>
                <w:b/>
                <w:color w:val="000000" w:themeColor="text1"/>
                <w:sz w:val="16"/>
                <w:szCs w:val="16"/>
              </w:rPr>
              <w:t>Item Location</w:t>
            </w:r>
          </w:p>
        </w:tc>
        <w:tc>
          <w:tcPr>
            <w:tcW w:w="983" w:type="dxa"/>
            <w:shd w:val="clear" w:color="auto" w:fill="D9D9D9" w:themeFill="background1" w:themeFillShade="D9"/>
            <w:vAlign w:val="center"/>
          </w:tcPr>
          <w:p w:rsidR="008A42E4" w:rsidRPr="00A62104" w:rsidRDefault="008A42E4" w:rsidP="004C032C">
            <w:pPr>
              <w:jc w:val="center"/>
              <w:rPr>
                <w:rFonts w:cstheme="minorHAnsi"/>
                <w:b/>
                <w:color w:val="000000" w:themeColor="text1"/>
                <w:sz w:val="16"/>
                <w:szCs w:val="16"/>
              </w:rPr>
            </w:pPr>
            <w:r w:rsidRPr="00A62104">
              <w:rPr>
                <w:rFonts w:cstheme="minorHAnsi"/>
                <w:b/>
                <w:color w:val="000000" w:themeColor="text1"/>
                <w:sz w:val="16"/>
                <w:szCs w:val="16"/>
              </w:rPr>
              <w:t>Purchase Price</w:t>
            </w:r>
          </w:p>
        </w:tc>
        <w:tc>
          <w:tcPr>
            <w:tcW w:w="983" w:type="dxa"/>
            <w:shd w:val="clear" w:color="auto" w:fill="D9D9D9" w:themeFill="background1" w:themeFillShade="D9"/>
            <w:vAlign w:val="center"/>
          </w:tcPr>
          <w:p w:rsidR="008A42E4" w:rsidRPr="00A62104" w:rsidRDefault="008A42E4" w:rsidP="004C032C">
            <w:pPr>
              <w:jc w:val="center"/>
              <w:rPr>
                <w:rFonts w:cstheme="minorHAnsi"/>
                <w:b/>
                <w:color w:val="000000" w:themeColor="text1"/>
                <w:sz w:val="16"/>
                <w:szCs w:val="16"/>
              </w:rPr>
            </w:pPr>
            <w:r w:rsidRPr="00A62104">
              <w:rPr>
                <w:rFonts w:cstheme="minorHAnsi"/>
                <w:b/>
                <w:color w:val="000000" w:themeColor="text1"/>
                <w:sz w:val="16"/>
                <w:szCs w:val="16"/>
              </w:rPr>
              <w:t>Purchase Date</w:t>
            </w:r>
          </w:p>
        </w:tc>
        <w:tc>
          <w:tcPr>
            <w:tcW w:w="1043" w:type="dxa"/>
            <w:shd w:val="clear" w:color="auto" w:fill="D9D9D9" w:themeFill="background1" w:themeFillShade="D9"/>
            <w:vAlign w:val="center"/>
          </w:tcPr>
          <w:p w:rsidR="008A42E4" w:rsidRPr="00A62104" w:rsidRDefault="008A42E4" w:rsidP="004C032C">
            <w:pPr>
              <w:jc w:val="center"/>
              <w:rPr>
                <w:rFonts w:cstheme="minorHAnsi"/>
                <w:b/>
                <w:color w:val="000000" w:themeColor="text1"/>
                <w:sz w:val="16"/>
                <w:szCs w:val="16"/>
              </w:rPr>
            </w:pPr>
            <w:r w:rsidRPr="00A62104">
              <w:rPr>
                <w:rFonts w:cstheme="minorHAnsi"/>
                <w:b/>
                <w:color w:val="000000" w:themeColor="text1"/>
                <w:sz w:val="16"/>
                <w:szCs w:val="16"/>
              </w:rPr>
              <w:t>Percentage of 21</w:t>
            </w:r>
            <w:r w:rsidRPr="00A62104">
              <w:rPr>
                <w:rFonts w:cstheme="minorHAnsi"/>
                <w:b/>
                <w:color w:val="000000" w:themeColor="text1"/>
                <w:sz w:val="16"/>
                <w:szCs w:val="16"/>
                <w:vertAlign w:val="superscript"/>
              </w:rPr>
              <w:t>st</w:t>
            </w:r>
            <w:r w:rsidRPr="00A62104">
              <w:rPr>
                <w:rFonts w:cstheme="minorHAnsi"/>
                <w:b/>
                <w:color w:val="000000" w:themeColor="text1"/>
                <w:sz w:val="16"/>
                <w:szCs w:val="16"/>
              </w:rPr>
              <w:t xml:space="preserve"> CCLC Funds Used for  Purchase</w:t>
            </w:r>
          </w:p>
        </w:tc>
        <w:tc>
          <w:tcPr>
            <w:tcW w:w="1080" w:type="dxa"/>
            <w:shd w:val="clear" w:color="auto" w:fill="D9D9D9" w:themeFill="background1" w:themeFillShade="D9"/>
            <w:vAlign w:val="center"/>
          </w:tcPr>
          <w:p w:rsidR="008A42E4" w:rsidRPr="00A62104" w:rsidRDefault="004C032C" w:rsidP="004C032C">
            <w:pPr>
              <w:jc w:val="center"/>
              <w:rPr>
                <w:rFonts w:cstheme="minorHAnsi"/>
                <w:b/>
                <w:color w:val="000000" w:themeColor="text1"/>
                <w:sz w:val="16"/>
                <w:szCs w:val="16"/>
              </w:rPr>
            </w:pPr>
            <w:r w:rsidRPr="00A62104">
              <w:rPr>
                <w:rFonts w:cstheme="minorHAnsi"/>
                <w:b/>
                <w:color w:val="000000" w:themeColor="text1"/>
                <w:sz w:val="16"/>
                <w:szCs w:val="16"/>
              </w:rPr>
              <w:t>Current Per Unit Fair Market Value</w:t>
            </w:r>
          </w:p>
        </w:tc>
        <w:tc>
          <w:tcPr>
            <w:tcW w:w="1080" w:type="dxa"/>
            <w:shd w:val="clear" w:color="auto" w:fill="D9D9D9" w:themeFill="background1" w:themeFillShade="D9"/>
            <w:vAlign w:val="center"/>
          </w:tcPr>
          <w:p w:rsidR="008A42E4" w:rsidRPr="00A62104" w:rsidRDefault="004C032C" w:rsidP="004C032C">
            <w:pPr>
              <w:jc w:val="center"/>
              <w:rPr>
                <w:rFonts w:cstheme="minorHAnsi"/>
                <w:b/>
                <w:color w:val="000000" w:themeColor="text1"/>
                <w:sz w:val="16"/>
                <w:szCs w:val="16"/>
              </w:rPr>
            </w:pPr>
            <w:r w:rsidRPr="00A62104">
              <w:rPr>
                <w:rFonts w:cstheme="minorHAnsi"/>
                <w:b/>
                <w:color w:val="000000" w:themeColor="text1"/>
                <w:sz w:val="16"/>
                <w:szCs w:val="16"/>
              </w:rPr>
              <w:t>Condition: Good, Fair, Poor</w:t>
            </w:r>
          </w:p>
        </w:tc>
        <w:tc>
          <w:tcPr>
            <w:tcW w:w="1170" w:type="dxa"/>
            <w:shd w:val="clear" w:color="auto" w:fill="D9D9D9" w:themeFill="background1" w:themeFillShade="D9"/>
            <w:vAlign w:val="center"/>
          </w:tcPr>
          <w:p w:rsidR="008A42E4" w:rsidRPr="00A62104" w:rsidRDefault="004C032C" w:rsidP="004C032C">
            <w:pPr>
              <w:jc w:val="center"/>
              <w:rPr>
                <w:rFonts w:cstheme="minorHAnsi"/>
                <w:b/>
                <w:color w:val="000000" w:themeColor="text1"/>
                <w:sz w:val="16"/>
                <w:szCs w:val="16"/>
              </w:rPr>
            </w:pPr>
            <w:r w:rsidRPr="00A62104">
              <w:rPr>
                <w:rFonts w:cstheme="minorHAnsi"/>
                <w:b/>
                <w:color w:val="000000" w:themeColor="text1"/>
                <w:sz w:val="16"/>
                <w:szCs w:val="16"/>
              </w:rPr>
              <w:t>Disposition Status: Retain, Sold, Etc. (If sold indicate date and amount sold for)</w:t>
            </w:r>
          </w:p>
        </w:tc>
        <w:tc>
          <w:tcPr>
            <w:tcW w:w="1170" w:type="dxa"/>
            <w:shd w:val="clear" w:color="auto" w:fill="D9D9D9" w:themeFill="background1" w:themeFillShade="D9"/>
            <w:vAlign w:val="center"/>
          </w:tcPr>
          <w:p w:rsidR="008A42E4" w:rsidRPr="00A62104" w:rsidRDefault="004C032C" w:rsidP="004C032C">
            <w:pPr>
              <w:jc w:val="center"/>
              <w:rPr>
                <w:rFonts w:cstheme="minorHAnsi"/>
                <w:b/>
                <w:color w:val="000000" w:themeColor="text1"/>
                <w:sz w:val="16"/>
                <w:szCs w:val="16"/>
              </w:rPr>
            </w:pPr>
            <w:r w:rsidRPr="00A62104">
              <w:rPr>
                <w:rFonts w:cstheme="minorHAnsi"/>
                <w:b/>
                <w:color w:val="000000" w:themeColor="text1"/>
                <w:sz w:val="16"/>
                <w:szCs w:val="16"/>
              </w:rPr>
              <w:t>If Transferred:</w:t>
            </w:r>
          </w:p>
          <w:p w:rsidR="004C032C" w:rsidRPr="00A62104" w:rsidRDefault="004C032C" w:rsidP="004C032C">
            <w:pPr>
              <w:jc w:val="center"/>
              <w:rPr>
                <w:rFonts w:cstheme="minorHAnsi"/>
                <w:b/>
                <w:color w:val="000000" w:themeColor="text1"/>
                <w:sz w:val="16"/>
                <w:szCs w:val="16"/>
              </w:rPr>
            </w:pPr>
            <w:r w:rsidRPr="00A62104">
              <w:rPr>
                <w:rFonts w:cstheme="minorHAnsi"/>
                <w:b/>
                <w:color w:val="000000" w:themeColor="text1"/>
                <w:sz w:val="16"/>
                <w:szCs w:val="16"/>
              </w:rPr>
              <w:t>Organization &amp; Location Transferred To</w:t>
            </w:r>
          </w:p>
        </w:tc>
      </w:tr>
      <w:tr w:rsidR="0092464D" w:rsidRPr="007C47E7" w:rsidTr="0092464D">
        <w:trPr>
          <w:trHeight w:val="836"/>
        </w:trPr>
        <w:tc>
          <w:tcPr>
            <w:tcW w:w="913" w:type="dxa"/>
          </w:tcPr>
          <w:p w:rsidR="008A42E4" w:rsidRPr="007C47E7" w:rsidRDefault="008A42E4" w:rsidP="008A42E4">
            <w:pPr>
              <w:rPr>
                <w:rFonts w:cstheme="minorHAnsi"/>
                <w:color w:val="000000" w:themeColor="text1"/>
                <w:sz w:val="18"/>
                <w:szCs w:val="18"/>
              </w:rPr>
            </w:pPr>
          </w:p>
        </w:tc>
        <w:tc>
          <w:tcPr>
            <w:tcW w:w="1170" w:type="dxa"/>
          </w:tcPr>
          <w:p w:rsidR="008A42E4" w:rsidRPr="007C47E7" w:rsidRDefault="008A42E4" w:rsidP="008A42E4">
            <w:pPr>
              <w:rPr>
                <w:rFonts w:cstheme="minorHAnsi"/>
                <w:color w:val="000000" w:themeColor="text1"/>
                <w:sz w:val="18"/>
                <w:szCs w:val="18"/>
              </w:rPr>
            </w:pPr>
          </w:p>
        </w:tc>
        <w:tc>
          <w:tcPr>
            <w:tcW w:w="938" w:type="dxa"/>
          </w:tcPr>
          <w:p w:rsidR="008A42E4" w:rsidRPr="007C47E7" w:rsidRDefault="008A42E4" w:rsidP="008A42E4">
            <w:pPr>
              <w:rPr>
                <w:rFonts w:cstheme="minorHAnsi"/>
                <w:color w:val="000000" w:themeColor="text1"/>
                <w:sz w:val="18"/>
                <w:szCs w:val="18"/>
              </w:rPr>
            </w:pPr>
          </w:p>
        </w:tc>
        <w:tc>
          <w:tcPr>
            <w:tcW w:w="983" w:type="dxa"/>
          </w:tcPr>
          <w:p w:rsidR="008A42E4" w:rsidRPr="007C47E7" w:rsidRDefault="008A42E4" w:rsidP="008A42E4">
            <w:pPr>
              <w:rPr>
                <w:rFonts w:cstheme="minorHAnsi"/>
                <w:color w:val="000000" w:themeColor="text1"/>
                <w:sz w:val="18"/>
                <w:szCs w:val="18"/>
              </w:rPr>
            </w:pPr>
          </w:p>
        </w:tc>
        <w:tc>
          <w:tcPr>
            <w:tcW w:w="983" w:type="dxa"/>
          </w:tcPr>
          <w:p w:rsidR="008A42E4" w:rsidRPr="007C47E7" w:rsidRDefault="008A42E4" w:rsidP="008A42E4">
            <w:pPr>
              <w:rPr>
                <w:rFonts w:cstheme="minorHAnsi"/>
                <w:color w:val="000000" w:themeColor="text1"/>
                <w:sz w:val="18"/>
                <w:szCs w:val="18"/>
              </w:rPr>
            </w:pPr>
          </w:p>
        </w:tc>
        <w:tc>
          <w:tcPr>
            <w:tcW w:w="1043" w:type="dxa"/>
          </w:tcPr>
          <w:p w:rsidR="008A42E4" w:rsidRPr="007C47E7" w:rsidRDefault="008A42E4" w:rsidP="008A42E4">
            <w:pPr>
              <w:rPr>
                <w:rFonts w:cstheme="minorHAnsi"/>
                <w:color w:val="000000" w:themeColor="text1"/>
                <w:sz w:val="18"/>
                <w:szCs w:val="18"/>
              </w:rPr>
            </w:pPr>
          </w:p>
        </w:tc>
        <w:tc>
          <w:tcPr>
            <w:tcW w:w="1080" w:type="dxa"/>
          </w:tcPr>
          <w:p w:rsidR="008A42E4" w:rsidRPr="007C47E7" w:rsidRDefault="008A42E4" w:rsidP="008A42E4">
            <w:pPr>
              <w:rPr>
                <w:rFonts w:cstheme="minorHAnsi"/>
                <w:color w:val="000000" w:themeColor="text1"/>
                <w:sz w:val="18"/>
                <w:szCs w:val="18"/>
              </w:rPr>
            </w:pPr>
          </w:p>
        </w:tc>
        <w:tc>
          <w:tcPr>
            <w:tcW w:w="1080" w:type="dxa"/>
          </w:tcPr>
          <w:p w:rsidR="008A42E4" w:rsidRPr="007C47E7" w:rsidRDefault="008A42E4" w:rsidP="008A42E4">
            <w:pPr>
              <w:rPr>
                <w:rFonts w:cstheme="minorHAnsi"/>
                <w:color w:val="000000" w:themeColor="text1"/>
                <w:sz w:val="18"/>
                <w:szCs w:val="18"/>
              </w:rPr>
            </w:pPr>
          </w:p>
        </w:tc>
        <w:tc>
          <w:tcPr>
            <w:tcW w:w="1170" w:type="dxa"/>
          </w:tcPr>
          <w:p w:rsidR="008A42E4" w:rsidRPr="007C47E7" w:rsidRDefault="008A42E4" w:rsidP="008A42E4">
            <w:pPr>
              <w:rPr>
                <w:rFonts w:cstheme="minorHAnsi"/>
                <w:color w:val="000000" w:themeColor="text1"/>
                <w:sz w:val="18"/>
                <w:szCs w:val="18"/>
              </w:rPr>
            </w:pPr>
          </w:p>
        </w:tc>
        <w:tc>
          <w:tcPr>
            <w:tcW w:w="1170" w:type="dxa"/>
          </w:tcPr>
          <w:p w:rsidR="008A42E4" w:rsidRPr="007C47E7" w:rsidRDefault="008A42E4" w:rsidP="008A42E4">
            <w:pPr>
              <w:rPr>
                <w:rFonts w:cstheme="minorHAnsi"/>
                <w:color w:val="000000" w:themeColor="text1"/>
                <w:sz w:val="18"/>
                <w:szCs w:val="18"/>
              </w:rPr>
            </w:pPr>
          </w:p>
        </w:tc>
      </w:tr>
    </w:tbl>
    <w:p w:rsidR="008A42E4" w:rsidRPr="00B77E99" w:rsidRDefault="001D15AC" w:rsidP="00B77E99">
      <w:pPr>
        <w:pStyle w:val="IntenseQuote"/>
        <w:spacing w:line="240" w:lineRule="auto"/>
        <w:outlineLvl w:val="0"/>
        <w:rPr>
          <w:rStyle w:val="IntenseEmphasis"/>
          <w:rFonts w:cstheme="minorHAnsi"/>
          <w:i/>
          <w:sz w:val="28"/>
          <w:szCs w:val="28"/>
        </w:rPr>
      </w:pPr>
      <w:bookmarkStart w:id="6" w:name="_Toc514763949"/>
      <w:r w:rsidRPr="00B77E99">
        <w:rPr>
          <w:rStyle w:val="IntenseEmphasis"/>
          <w:rFonts w:cstheme="minorHAnsi"/>
          <w:i/>
          <w:sz w:val="28"/>
          <w:szCs w:val="28"/>
        </w:rPr>
        <w:t>Post-Closeout Adjustments and Continuing R</w:t>
      </w:r>
      <w:r w:rsidR="004C032C" w:rsidRPr="00B77E99">
        <w:rPr>
          <w:rStyle w:val="IntenseEmphasis"/>
          <w:rFonts w:cstheme="minorHAnsi"/>
          <w:i/>
          <w:sz w:val="28"/>
          <w:szCs w:val="28"/>
        </w:rPr>
        <w:t>esponsibilities</w:t>
      </w:r>
      <w:bookmarkEnd w:id="6"/>
    </w:p>
    <w:p w:rsidR="004C032C" w:rsidRPr="007C47E7" w:rsidRDefault="004C032C" w:rsidP="00211B3E">
      <w:pPr>
        <w:spacing w:after="120" w:line="240" w:lineRule="auto"/>
        <w:rPr>
          <w:rFonts w:cstheme="minorHAnsi"/>
          <w:sz w:val="24"/>
          <w:szCs w:val="24"/>
        </w:rPr>
      </w:pPr>
      <w:r w:rsidRPr="007C47E7">
        <w:rPr>
          <w:rFonts w:cstheme="minorHAnsi"/>
          <w:sz w:val="24"/>
          <w:szCs w:val="24"/>
        </w:rPr>
        <w:t xml:space="preserve">The termination or closing of the Federal award does not affect any of the following: 1) ODE’s right to disallow costs and recover funds on the basis of a later audit or other review; 2) the sub-grantee’s obligation to return any funds due as a result of later refunds, corrections, or other transactions; 3) audit requirements; 4) the sub-grantees obligation </w:t>
      </w:r>
      <w:r w:rsidR="007C47E7">
        <w:rPr>
          <w:rFonts w:cstheme="minorHAnsi"/>
          <w:sz w:val="24"/>
          <w:szCs w:val="24"/>
        </w:rPr>
        <w:t xml:space="preserve">to </w:t>
      </w:r>
      <w:r w:rsidRPr="007C47E7">
        <w:rPr>
          <w:rFonts w:cstheme="minorHAnsi"/>
          <w:sz w:val="24"/>
          <w:szCs w:val="24"/>
        </w:rPr>
        <w:t>manage and dispose of property; 5) records retention as required by ODE; 6) the sub-grantees responsibility to complete all federal reporting requirements. (2 C.F.R. §200.314 (a))</w:t>
      </w:r>
    </w:p>
    <w:p w:rsidR="001D15AC" w:rsidRPr="00B77E99" w:rsidRDefault="001D15AC" w:rsidP="00B77E99">
      <w:pPr>
        <w:pStyle w:val="IntenseQuote"/>
        <w:spacing w:line="240" w:lineRule="auto"/>
        <w:outlineLvl w:val="0"/>
        <w:rPr>
          <w:rFonts w:cstheme="minorHAnsi"/>
          <w:sz w:val="28"/>
          <w:szCs w:val="28"/>
        </w:rPr>
      </w:pPr>
      <w:bookmarkStart w:id="7" w:name="_Toc514763950"/>
      <w:r w:rsidRPr="00B77E99">
        <w:rPr>
          <w:rFonts w:cstheme="minorHAnsi"/>
          <w:sz w:val="28"/>
          <w:szCs w:val="28"/>
        </w:rPr>
        <w:t>Final Closeout</w:t>
      </w:r>
      <w:bookmarkEnd w:id="7"/>
    </w:p>
    <w:p w:rsidR="00534D9B" w:rsidRPr="007C47E7" w:rsidRDefault="001D15AC" w:rsidP="00211B3E">
      <w:pPr>
        <w:spacing w:after="120" w:line="240" w:lineRule="auto"/>
        <w:rPr>
          <w:rFonts w:cstheme="minorHAnsi"/>
          <w:sz w:val="24"/>
          <w:szCs w:val="24"/>
        </w:rPr>
      </w:pPr>
      <w:r w:rsidRPr="007C47E7">
        <w:rPr>
          <w:rFonts w:cstheme="minorHAnsi"/>
          <w:sz w:val="24"/>
          <w:szCs w:val="24"/>
        </w:rPr>
        <w:t xml:space="preserve">ODE will close out a grant when it determines that all applicable administrative actions and all required work of the sub-grantee have been completed. </w:t>
      </w:r>
      <w:r w:rsidR="00A94A8A">
        <w:rPr>
          <w:rFonts w:cstheme="minorHAnsi"/>
          <w:sz w:val="24"/>
          <w:szCs w:val="24"/>
        </w:rPr>
        <w:t>Ten percent of (10%) of the fifth year grant funding will be held until all close-out requirements are completed.</w:t>
      </w:r>
    </w:p>
    <w:p w:rsidR="001D15AC" w:rsidRPr="00B77E99" w:rsidRDefault="001D15AC" w:rsidP="00B77E99">
      <w:pPr>
        <w:pStyle w:val="IntenseQuote"/>
        <w:spacing w:line="240" w:lineRule="auto"/>
        <w:outlineLvl w:val="0"/>
        <w:rPr>
          <w:rFonts w:cstheme="minorHAnsi"/>
          <w:sz w:val="28"/>
          <w:szCs w:val="28"/>
        </w:rPr>
      </w:pPr>
      <w:bookmarkStart w:id="8" w:name="_Toc514763951"/>
      <w:r w:rsidRPr="00B77E99">
        <w:rPr>
          <w:rFonts w:cstheme="minorHAnsi"/>
          <w:sz w:val="28"/>
          <w:szCs w:val="28"/>
        </w:rPr>
        <w:t>Grant Closeout Checklist</w:t>
      </w:r>
      <w:bookmarkEnd w:id="8"/>
    </w:p>
    <w:p w:rsidR="001D15AC" w:rsidRPr="007C47E7" w:rsidRDefault="001D15AC" w:rsidP="00211B3E">
      <w:pPr>
        <w:spacing w:after="120" w:line="240" w:lineRule="auto"/>
        <w:rPr>
          <w:rFonts w:cstheme="minorHAnsi"/>
          <w:sz w:val="24"/>
          <w:szCs w:val="24"/>
        </w:rPr>
      </w:pPr>
      <w:r w:rsidRPr="007C47E7">
        <w:rPr>
          <w:rFonts w:cstheme="minorHAnsi"/>
          <w:sz w:val="24"/>
          <w:szCs w:val="24"/>
        </w:rPr>
        <w:t>The following are items to consider tracking when you are planning for or are in the process of closing out your 21</w:t>
      </w:r>
      <w:r w:rsidRPr="007C47E7">
        <w:rPr>
          <w:rFonts w:cstheme="minorHAnsi"/>
          <w:sz w:val="24"/>
          <w:szCs w:val="24"/>
          <w:vertAlign w:val="superscript"/>
        </w:rPr>
        <w:t>st</w:t>
      </w:r>
      <w:r w:rsidR="007C47E7">
        <w:rPr>
          <w:rFonts w:cstheme="minorHAnsi"/>
          <w:sz w:val="24"/>
          <w:szCs w:val="24"/>
        </w:rPr>
        <w:t xml:space="preserve"> CCLC program grant award. This</w:t>
      </w:r>
      <w:r w:rsidRPr="007C47E7">
        <w:rPr>
          <w:rFonts w:cstheme="minorHAnsi"/>
          <w:sz w:val="24"/>
          <w:szCs w:val="24"/>
        </w:rPr>
        <w:t xml:space="preserve"> is not all inclusive, and some items may not apply to your particular situation. Additional actions unique to your situation may also need to occur. </w:t>
      </w:r>
    </w:p>
    <w:p w:rsidR="001D15AC" w:rsidRPr="007C47E7" w:rsidRDefault="001D15AC" w:rsidP="00211B3E">
      <w:pPr>
        <w:pStyle w:val="ListParagraph"/>
        <w:numPr>
          <w:ilvl w:val="0"/>
          <w:numId w:val="4"/>
        </w:numPr>
        <w:spacing w:after="120" w:line="240" w:lineRule="auto"/>
        <w:rPr>
          <w:rFonts w:cstheme="minorHAnsi"/>
          <w:sz w:val="24"/>
          <w:szCs w:val="24"/>
        </w:rPr>
      </w:pPr>
      <w:r w:rsidRPr="007C47E7">
        <w:rPr>
          <w:rFonts w:cstheme="minorHAnsi"/>
          <w:sz w:val="24"/>
          <w:szCs w:val="24"/>
        </w:rPr>
        <w:t>Notify the following persons, in writing, of your program’s closing:</w:t>
      </w:r>
    </w:p>
    <w:p w:rsidR="001D15AC" w:rsidRPr="007C47E7" w:rsidRDefault="001D15AC" w:rsidP="00211B3E">
      <w:pPr>
        <w:pStyle w:val="ListParagraph"/>
        <w:numPr>
          <w:ilvl w:val="1"/>
          <w:numId w:val="5"/>
        </w:numPr>
        <w:spacing w:after="120" w:line="240" w:lineRule="auto"/>
        <w:rPr>
          <w:rFonts w:cstheme="minorHAnsi"/>
          <w:sz w:val="24"/>
          <w:szCs w:val="24"/>
        </w:rPr>
      </w:pPr>
      <w:r w:rsidRPr="007C47E7">
        <w:rPr>
          <w:rFonts w:cstheme="minorHAnsi"/>
          <w:sz w:val="24"/>
          <w:szCs w:val="24"/>
        </w:rPr>
        <w:t>School district officials;</w:t>
      </w:r>
    </w:p>
    <w:p w:rsidR="001D15AC" w:rsidRPr="007C47E7" w:rsidRDefault="001D15AC" w:rsidP="00211B3E">
      <w:pPr>
        <w:pStyle w:val="ListParagraph"/>
        <w:numPr>
          <w:ilvl w:val="1"/>
          <w:numId w:val="5"/>
        </w:numPr>
        <w:spacing w:after="120" w:line="240" w:lineRule="auto"/>
        <w:rPr>
          <w:rFonts w:cstheme="minorHAnsi"/>
          <w:sz w:val="24"/>
          <w:szCs w:val="24"/>
        </w:rPr>
      </w:pPr>
      <w:r w:rsidRPr="007C47E7">
        <w:rPr>
          <w:rFonts w:cstheme="minorHAnsi"/>
          <w:sz w:val="24"/>
          <w:szCs w:val="24"/>
        </w:rPr>
        <w:t>Your staff;</w:t>
      </w:r>
    </w:p>
    <w:p w:rsidR="001D15AC" w:rsidRPr="007C47E7" w:rsidRDefault="001D15AC" w:rsidP="00211B3E">
      <w:pPr>
        <w:pStyle w:val="ListParagraph"/>
        <w:numPr>
          <w:ilvl w:val="1"/>
          <w:numId w:val="5"/>
        </w:numPr>
        <w:spacing w:after="120" w:line="240" w:lineRule="auto"/>
        <w:rPr>
          <w:rFonts w:cstheme="minorHAnsi"/>
          <w:sz w:val="24"/>
          <w:szCs w:val="24"/>
        </w:rPr>
      </w:pPr>
      <w:r w:rsidRPr="007C47E7">
        <w:rPr>
          <w:rFonts w:cstheme="minorHAnsi"/>
          <w:sz w:val="24"/>
          <w:szCs w:val="24"/>
        </w:rPr>
        <w:t>Your partners;</w:t>
      </w:r>
    </w:p>
    <w:p w:rsidR="001D15AC" w:rsidRPr="007C47E7" w:rsidRDefault="001D15AC" w:rsidP="00211B3E">
      <w:pPr>
        <w:pStyle w:val="ListParagraph"/>
        <w:numPr>
          <w:ilvl w:val="1"/>
          <w:numId w:val="5"/>
        </w:numPr>
        <w:spacing w:after="120" w:line="240" w:lineRule="auto"/>
        <w:rPr>
          <w:rFonts w:cstheme="minorHAnsi"/>
          <w:sz w:val="24"/>
          <w:szCs w:val="24"/>
        </w:rPr>
      </w:pPr>
      <w:r w:rsidRPr="007C47E7">
        <w:rPr>
          <w:rFonts w:cstheme="minorHAnsi"/>
          <w:sz w:val="24"/>
          <w:szCs w:val="24"/>
        </w:rPr>
        <w:t xml:space="preserve">Parents/Families/Legal </w:t>
      </w:r>
      <w:r w:rsidR="00792F6C" w:rsidRPr="007C47E7">
        <w:rPr>
          <w:rFonts w:cstheme="minorHAnsi"/>
          <w:sz w:val="24"/>
          <w:szCs w:val="24"/>
        </w:rPr>
        <w:t>guardians and their students;</w:t>
      </w:r>
    </w:p>
    <w:p w:rsidR="00792F6C" w:rsidRPr="007C47E7" w:rsidRDefault="00792F6C" w:rsidP="00211B3E">
      <w:pPr>
        <w:pStyle w:val="ListParagraph"/>
        <w:numPr>
          <w:ilvl w:val="1"/>
          <w:numId w:val="5"/>
        </w:numPr>
        <w:spacing w:after="120" w:line="240" w:lineRule="auto"/>
        <w:rPr>
          <w:rFonts w:cstheme="minorHAnsi"/>
          <w:sz w:val="24"/>
          <w:szCs w:val="24"/>
        </w:rPr>
      </w:pPr>
      <w:r w:rsidRPr="007C47E7">
        <w:rPr>
          <w:rFonts w:cstheme="minorHAnsi"/>
          <w:sz w:val="24"/>
          <w:szCs w:val="24"/>
        </w:rPr>
        <w:t>Governing authorities/board; and</w:t>
      </w:r>
    </w:p>
    <w:p w:rsidR="00792F6C" w:rsidRPr="007C47E7" w:rsidRDefault="00792F6C" w:rsidP="00211B3E">
      <w:pPr>
        <w:pStyle w:val="ListParagraph"/>
        <w:numPr>
          <w:ilvl w:val="1"/>
          <w:numId w:val="5"/>
        </w:numPr>
        <w:spacing w:after="120" w:line="240" w:lineRule="auto"/>
        <w:rPr>
          <w:rFonts w:cstheme="minorHAnsi"/>
          <w:sz w:val="24"/>
          <w:szCs w:val="24"/>
        </w:rPr>
      </w:pPr>
      <w:r w:rsidRPr="007C47E7">
        <w:rPr>
          <w:rFonts w:cstheme="minorHAnsi"/>
          <w:sz w:val="24"/>
          <w:szCs w:val="24"/>
        </w:rPr>
        <w:t>Any other program stakeholders.</w:t>
      </w:r>
    </w:p>
    <w:p w:rsidR="00792F6C" w:rsidRPr="007C47E7" w:rsidRDefault="00792F6C" w:rsidP="00211B3E">
      <w:pPr>
        <w:pStyle w:val="ListParagraph"/>
        <w:numPr>
          <w:ilvl w:val="0"/>
          <w:numId w:val="4"/>
        </w:numPr>
        <w:spacing w:after="120" w:line="240" w:lineRule="auto"/>
        <w:rPr>
          <w:rFonts w:cstheme="minorHAnsi"/>
          <w:sz w:val="24"/>
          <w:szCs w:val="24"/>
        </w:rPr>
      </w:pPr>
      <w:r w:rsidRPr="007C47E7">
        <w:rPr>
          <w:rFonts w:cstheme="minorHAnsi"/>
          <w:sz w:val="24"/>
          <w:szCs w:val="24"/>
        </w:rPr>
        <w:t>Notify families of other possible programs including contact information, if appropriate and available.</w:t>
      </w:r>
    </w:p>
    <w:p w:rsidR="00792F6C" w:rsidRPr="007C47E7" w:rsidRDefault="00792F6C" w:rsidP="00211B3E">
      <w:pPr>
        <w:pStyle w:val="ListParagraph"/>
        <w:numPr>
          <w:ilvl w:val="0"/>
          <w:numId w:val="4"/>
        </w:numPr>
        <w:spacing w:after="120" w:line="240" w:lineRule="auto"/>
        <w:rPr>
          <w:rFonts w:cstheme="minorHAnsi"/>
          <w:sz w:val="24"/>
          <w:szCs w:val="24"/>
        </w:rPr>
      </w:pPr>
      <w:r w:rsidRPr="007C47E7">
        <w:rPr>
          <w:rFonts w:cstheme="minorHAnsi"/>
          <w:sz w:val="24"/>
          <w:szCs w:val="24"/>
        </w:rPr>
        <w:t>Develop a comprehensive action timeline for your closeout procedures to occur. The timeline should detail the roles and responsibilities of all impacted individuals and include due dates.</w:t>
      </w:r>
    </w:p>
    <w:p w:rsidR="00792F6C" w:rsidRPr="007C47E7" w:rsidRDefault="00792F6C" w:rsidP="00211B3E">
      <w:pPr>
        <w:pStyle w:val="ListParagraph"/>
        <w:numPr>
          <w:ilvl w:val="0"/>
          <w:numId w:val="4"/>
        </w:numPr>
        <w:spacing w:after="120" w:line="240" w:lineRule="auto"/>
        <w:rPr>
          <w:rFonts w:cstheme="minorHAnsi"/>
          <w:sz w:val="24"/>
          <w:szCs w:val="24"/>
        </w:rPr>
      </w:pPr>
      <w:r w:rsidRPr="007C47E7">
        <w:rPr>
          <w:rFonts w:cstheme="minorHAnsi"/>
          <w:sz w:val="24"/>
          <w:szCs w:val="24"/>
        </w:rPr>
        <w:t>Properly close out all vendor contracts and finalize all payment requirements so that nothing remains due or in question.</w:t>
      </w:r>
    </w:p>
    <w:p w:rsidR="00792F6C" w:rsidRPr="007C47E7" w:rsidRDefault="00792F6C" w:rsidP="00211B3E">
      <w:pPr>
        <w:pStyle w:val="ListParagraph"/>
        <w:numPr>
          <w:ilvl w:val="0"/>
          <w:numId w:val="4"/>
        </w:numPr>
        <w:spacing w:after="120" w:line="240" w:lineRule="auto"/>
        <w:rPr>
          <w:rFonts w:cstheme="minorHAnsi"/>
          <w:sz w:val="24"/>
          <w:szCs w:val="24"/>
        </w:rPr>
      </w:pPr>
      <w:r w:rsidRPr="007C47E7">
        <w:rPr>
          <w:rFonts w:cstheme="minorHAnsi"/>
          <w:sz w:val="24"/>
          <w:szCs w:val="24"/>
        </w:rPr>
        <w:t>Take appropriate action on all pending invoices to ensure complete payment for goods and services delivered.</w:t>
      </w:r>
    </w:p>
    <w:p w:rsidR="006C44F9" w:rsidRPr="007C47E7" w:rsidRDefault="006C44F9" w:rsidP="00211B3E">
      <w:pPr>
        <w:pStyle w:val="ListParagraph"/>
        <w:numPr>
          <w:ilvl w:val="0"/>
          <w:numId w:val="4"/>
        </w:numPr>
        <w:spacing w:after="120" w:line="240" w:lineRule="auto"/>
        <w:rPr>
          <w:rFonts w:cstheme="minorHAnsi"/>
          <w:sz w:val="24"/>
          <w:szCs w:val="24"/>
        </w:rPr>
      </w:pPr>
      <w:r w:rsidRPr="007C47E7">
        <w:rPr>
          <w:rFonts w:cstheme="minorHAnsi"/>
          <w:sz w:val="24"/>
          <w:szCs w:val="24"/>
        </w:rPr>
        <w:t>Notify transportation providers, Child Nutrition, etc.</w:t>
      </w:r>
    </w:p>
    <w:p w:rsidR="006C44F9" w:rsidRPr="007C47E7" w:rsidRDefault="006C44F9" w:rsidP="00211B3E">
      <w:pPr>
        <w:pStyle w:val="ListParagraph"/>
        <w:numPr>
          <w:ilvl w:val="0"/>
          <w:numId w:val="4"/>
        </w:numPr>
        <w:spacing w:after="120" w:line="240" w:lineRule="auto"/>
        <w:rPr>
          <w:rFonts w:cstheme="minorHAnsi"/>
          <w:sz w:val="24"/>
          <w:szCs w:val="24"/>
        </w:rPr>
      </w:pPr>
      <w:r w:rsidRPr="007C47E7">
        <w:rPr>
          <w:rFonts w:cstheme="minorHAnsi"/>
          <w:sz w:val="24"/>
          <w:szCs w:val="24"/>
        </w:rPr>
        <w:t>Update website and social media.</w:t>
      </w:r>
    </w:p>
    <w:p w:rsidR="00792F6C" w:rsidRPr="007C47E7" w:rsidRDefault="00792F6C" w:rsidP="00211B3E">
      <w:pPr>
        <w:pStyle w:val="ListParagraph"/>
        <w:numPr>
          <w:ilvl w:val="0"/>
          <w:numId w:val="4"/>
        </w:numPr>
        <w:spacing w:after="120" w:line="240" w:lineRule="auto"/>
        <w:rPr>
          <w:rFonts w:cstheme="minorHAnsi"/>
          <w:sz w:val="24"/>
          <w:szCs w:val="24"/>
        </w:rPr>
      </w:pPr>
      <w:r w:rsidRPr="007C47E7">
        <w:rPr>
          <w:rFonts w:cstheme="minorHAnsi"/>
          <w:sz w:val="24"/>
          <w:szCs w:val="24"/>
        </w:rPr>
        <w:t>Finalize any outstanding monitoring review corrective actions.</w:t>
      </w:r>
    </w:p>
    <w:p w:rsidR="00792F6C" w:rsidRPr="007C47E7" w:rsidRDefault="00792F6C" w:rsidP="00211B3E">
      <w:pPr>
        <w:pStyle w:val="ListParagraph"/>
        <w:numPr>
          <w:ilvl w:val="0"/>
          <w:numId w:val="4"/>
        </w:numPr>
        <w:spacing w:after="120" w:line="240" w:lineRule="auto"/>
        <w:rPr>
          <w:rFonts w:cstheme="minorHAnsi"/>
          <w:sz w:val="24"/>
          <w:szCs w:val="24"/>
        </w:rPr>
      </w:pPr>
      <w:r w:rsidRPr="007C47E7">
        <w:rPr>
          <w:rFonts w:cstheme="minorHAnsi"/>
          <w:sz w:val="24"/>
          <w:szCs w:val="24"/>
        </w:rPr>
        <w:t>Submit your final reports as required by ODE.</w:t>
      </w:r>
    </w:p>
    <w:p w:rsidR="006C44F9" w:rsidRPr="007C47E7" w:rsidRDefault="006C44F9" w:rsidP="00211B3E">
      <w:pPr>
        <w:pStyle w:val="ListParagraph"/>
        <w:numPr>
          <w:ilvl w:val="0"/>
          <w:numId w:val="4"/>
        </w:numPr>
        <w:spacing w:after="120" w:line="240" w:lineRule="auto"/>
        <w:rPr>
          <w:rFonts w:cstheme="minorHAnsi"/>
          <w:sz w:val="24"/>
          <w:szCs w:val="24"/>
        </w:rPr>
      </w:pPr>
      <w:r w:rsidRPr="007C47E7">
        <w:rPr>
          <w:rFonts w:cstheme="minorHAnsi"/>
          <w:sz w:val="24"/>
          <w:szCs w:val="24"/>
        </w:rPr>
        <w:t>Update Equipment and Supply Inventory and Disposition Records.</w:t>
      </w:r>
    </w:p>
    <w:p w:rsidR="006C44F9" w:rsidRPr="007C47E7" w:rsidRDefault="006C44F9" w:rsidP="00211B3E">
      <w:pPr>
        <w:pStyle w:val="ListParagraph"/>
        <w:numPr>
          <w:ilvl w:val="0"/>
          <w:numId w:val="4"/>
        </w:numPr>
        <w:spacing w:after="120" w:line="240" w:lineRule="auto"/>
        <w:rPr>
          <w:rFonts w:cstheme="minorHAnsi"/>
          <w:sz w:val="24"/>
          <w:szCs w:val="24"/>
        </w:rPr>
      </w:pPr>
      <w:r w:rsidRPr="007C47E7">
        <w:rPr>
          <w:rFonts w:cstheme="minorHAnsi"/>
          <w:sz w:val="24"/>
          <w:szCs w:val="24"/>
        </w:rPr>
        <w:t xml:space="preserve">Make arrangements to retain all records associated with this grant for 5 years. </w:t>
      </w:r>
    </w:p>
    <w:sectPr w:rsidR="006C44F9" w:rsidRPr="007C47E7" w:rsidSect="00567597">
      <w:footerReference w:type="default" r:id="rId20"/>
      <w:footerReference w:type="first" r:id="rId21"/>
      <w:pgSz w:w="12240" w:h="15840"/>
      <w:pgMar w:top="1296" w:right="1296"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35" w:rsidRDefault="00025135" w:rsidP="00025135">
      <w:pPr>
        <w:spacing w:after="0" w:line="240" w:lineRule="auto"/>
      </w:pPr>
      <w:r>
        <w:separator/>
      </w:r>
    </w:p>
  </w:endnote>
  <w:endnote w:type="continuationSeparator" w:id="0">
    <w:p w:rsidR="00025135" w:rsidRDefault="00025135" w:rsidP="000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0C" w:rsidRDefault="004A1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0C" w:rsidRDefault="004A1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439997"/>
      <w:docPartObj>
        <w:docPartGallery w:val="Page Numbers (Bottom of Page)"/>
        <w:docPartUnique/>
      </w:docPartObj>
    </w:sdtPr>
    <w:sdtEndPr>
      <w:rPr>
        <w:color w:val="7F7F7F" w:themeColor="background1" w:themeShade="7F"/>
        <w:spacing w:val="60"/>
      </w:rPr>
    </w:sdtEndPr>
    <w:sdtContent>
      <w:p w:rsidR="00025135" w:rsidRDefault="0002513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25135">
          <w:rPr>
            <w:b/>
            <w:bCs/>
            <w:noProof/>
          </w:rPr>
          <w:t>2</w:t>
        </w:r>
        <w:r>
          <w:rPr>
            <w:b/>
            <w:bCs/>
            <w:noProof/>
          </w:rPr>
          <w:fldChar w:fldCharType="end"/>
        </w:r>
        <w:r>
          <w:rPr>
            <w:b/>
            <w:bCs/>
          </w:rPr>
          <w:t xml:space="preserve"> | </w:t>
        </w:r>
        <w:r>
          <w:rPr>
            <w:color w:val="7F7F7F" w:themeColor="background1" w:themeShade="7F"/>
            <w:spacing w:val="60"/>
          </w:rPr>
          <w:t>Page</w:t>
        </w:r>
      </w:p>
    </w:sdtContent>
  </w:sdt>
  <w:p w:rsidR="00025135" w:rsidRDefault="000251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25368"/>
      <w:docPartObj>
        <w:docPartGallery w:val="Page Numbers (Bottom of Page)"/>
        <w:docPartUnique/>
      </w:docPartObj>
    </w:sdtPr>
    <w:sdtEndPr>
      <w:rPr>
        <w:color w:val="7F7F7F" w:themeColor="background1" w:themeShade="7F"/>
        <w:spacing w:val="60"/>
      </w:rPr>
    </w:sdtEndPr>
    <w:sdtContent>
      <w:p w:rsidR="004A1E0C" w:rsidRDefault="004A1E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216F" w:rsidRPr="0039216F">
          <w:rPr>
            <w:b/>
            <w:bCs/>
            <w:noProof/>
          </w:rPr>
          <w:t>9</w:t>
        </w:r>
        <w:r>
          <w:rPr>
            <w:b/>
            <w:bCs/>
            <w:noProof/>
          </w:rPr>
          <w:fldChar w:fldCharType="end"/>
        </w:r>
        <w:r>
          <w:rPr>
            <w:b/>
            <w:bCs/>
          </w:rPr>
          <w:t xml:space="preserve"> | </w:t>
        </w:r>
        <w:r>
          <w:rPr>
            <w:color w:val="7F7F7F" w:themeColor="background1" w:themeShade="7F"/>
            <w:spacing w:val="60"/>
          </w:rPr>
          <w:t>Page</w:t>
        </w:r>
      </w:p>
    </w:sdtContent>
  </w:sdt>
  <w:p w:rsidR="00567597" w:rsidRDefault="00567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35" w:rsidRDefault="00025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35" w:rsidRDefault="00025135" w:rsidP="00025135">
      <w:pPr>
        <w:spacing w:after="0" w:line="240" w:lineRule="auto"/>
      </w:pPr>
      <w:r>
        <w:separator/>
      </w:r>
    </w:p>
  </w:footnote>
  <w:footnote w:type="continuationSeparator" w:id="0">
    <w:p w:rsidR="00025135" w:rsidRDefault="00025135" w:rsidP="0002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0C" w:rsidRDefault="004A1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597" w:rsidRPr="00E97B9F" w:rsidRDefault="00567597">
    <w:pPr>
      <w:pStyle w:val="Header"/>
      <w:pBdr>
        <w:bottom w:val="single" w:sz="4" w:space="1" w:color="D9D9D9" w:themeColor="background1" w:themeShade="D9"/>
      </w:pBdr>
      <w:rPr>
        <w:b/>
        <w:bCs/>
        <w:sz w:val="24"/>
        <w:szCs w:val="24"/>
      </w:rPr>
    </w:pPr>
  </w:p>
  <w:p w:rsidR="00567597" w:rsidRDefault="00567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2E" w:rsidRPr="00E97B9F" w:rsidRDefault="0020572E">
    <w:pPr>
      <w:pStyle w:val="Header"/>
      <w:pBdr>
        <w:bottom w:val="single" w:sz="4" w:space="1" w:color="D9D9D9" w:themeColor="background1" w:themeShade="D9"/>
      </w:pBdr>
      <w:rPr>
        <w:b/>
        <w:bCs/>
        <w:sz w:val="24"/>
        <w:szCs w:val="24"/>
      </w:rPr>
    </w:pPr>
  </w:p>
  <w:p w:rsidR="0020572E" w:rsidRDefault="0020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820"/>
    <w:multiLevelType w:val="hybridMultilevel"/>
    <w:tmpl w:val="95F6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D09E8"/>
    <w:multiLevelType w:val="hybridMultilevel"/>
    <w:tmpl w:val="583C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66E19"/>
    <w:multiLevelType w:val="hybridMultilevel"/>
    <w:tmpl w:val="79C28602"/>
    <w:lvl w:ilvl="0" w:tplc="BB8C9D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D1B6C"/>
    <w:multiLevelType w:val="hybridMultilevel"/>
    <w:tmpl w:val="A22E5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E35A1"/>
    <w:multiLevelType w:val="hybridMultilevel"/>
    <w:tmpl w:val="3F0E6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741050"/>
    <w:multiLevelType w:val="hybridMultilevel"/>
    <w:tmpl w:val="F9F2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70D46"/>
    <w:multiLevelType w:val="hybridMultilevel"/>
    <w:tmpl w:val="D8A0F6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A0F33"/>
    <w:multiLevelType w:val="hybridMultilevel"/>
    <w:tmpl w:val="E1A62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4A1DAA"/>
    <w:multiLevelType w:val="hybridMultilevel"/>
    <w:tmpl w:val="EB6E8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97B2C"/>
    <w:multiLevelType w:val="hybridMultilevel"/>
    <w:tmpl w:val="41244E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717C7"/>
    <w:multiLevelType w:val="hybridMultilevel"/>
    <w:tmpl w:val="B5B4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945AF"/>
    <w:multiLevelType w:val="hybridMultilevel"/>
    <w:tmpl w:val="1568B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E55A0"/>
    <w:multiLevelType w:val="hybridMultilevel"/>
    <w:tmpl w:val="69CEA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E22CC"/>
    <w:multiLevelType w:val="hybridMultilevel"/>
    <w:tmpl w:val="5636CABA"/>
    <w:lvl w:ilvl="0" w:tplc="A7B8C850">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6D954A7"/>
    <w:multiLevelType w:val="hybridMultilevel"/>
    <w:tmpl w:val="9D065B0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E265E"/>
    <w:multiLevelType w:val="hybridMultilevel"/>
    <w:tmpl w:val="86563BB0"/>
    <w:lvl w:ilvl="0" w:tplc="771E2B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F01FBC"/>
    <w:multiLevelType w:val="hybridMultilevel"/>
    <w:tmpl w:val="64F43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F0DB6"/>
    <w:multiLevelType w:val="hybridMultilevel"/>
    <w:tmpl w:val="4F749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B62CB7"/>
    <w:multiLevelType w:val="hybridMultilevel"/>
    <w:tmpl w:val="EE4443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19554E"/>
    <w:multiLevelType w:val="hybridMultilevel"/>
    <w:tmpl w:val="BD3C2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E65114"/>
    <w:multiLevelType w:val="hybridMultilevel"/>
    <w:tmpl w:val="24D69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11A66"/>
    <w:multiLevelType w:val="hybridMultilevel"/>
    <w:tmpl w:val="E5A8DF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C1AC1"/>
    <w:multiLevelType w:val="hybridMultilevel"/>
    <w:tmpl w:val="1BFC1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17B07"/>
    <w:multiLevelType w:val="hybridMultilevel"/>
    <w:tmpl w:val="0750C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E5806"/>
    <w:multiLevelType w:val="hybridMultilevel"/>
    <w:tmpl w:val="6DC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E00A7"/>
    <w:multiLevelType w:val="hybridMultilevel"/>
    <w:tmpl w:val="9A02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E66D7"/>
    <w:multiLevelType w:val="hybridMultilevel"/>
    <w:tmpl w:val="42BA395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92052B"/>
    <w:multiLevelType w:val="hybridMultilevel"/>
    <w:tmpl w:val="FC6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F43FA"/>
    <w:multiLevelType w:val="hybridMultilevel"/>
    <w:tmpl w:val="827A0D10"/>
    <w:lvl w:ilvl="0" w:tplc="A53673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F8B"/>
    <w:multiLevelType w:val="hybridMultilevel"/>
    <w:tmpl w:val="71B23F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5"/>
  </w:num>
  <w:num w:numId="4">
    <w:abstractNumId w:val="16"/>
  </w:num>
  <w:num w:numId="5">
    <w:abstractNumId w:val="21"/>
  </w:num>
  <w:num w:numId="6">
    <w:abstractNumId w:val="0"/>
  </w:num>
  <w:num w:numId="7">
    <w:abstractNumId w:val="25"/>
  </w:num>
  <w:num w:numId="8">
    <w:abstractNumId w:val="8"/>
  </w:num>
  <w:num w:numId="9">
    <w:abstractNumId w:val="10"/>
  </w:num>
  <w:num w:numId="10">
    <w:abstractNumId w:val="2"/>
  </w:num>
  <w:num w:numId="11">
    <w:abstractNumId w:val="13"/>
  </w:num>
  <w:num w:numId="12">
    <w:abstractNumId w:val="28"/>
  </w:num>
  <w:num w:numId="13">
    <w:abstractNumId w:val="12"/>
  </w:num>
  <w:num w:numId="14">
    <w:abstractNumId w:val="18"/>
  </w:num>
  <w:num w:numId="15">
    <w:abstractNumId w:val="7"/>
  </w:num>
  <w:num w:numId="16">
    <w:abstractNumId w:val="3"/>
  </w:num>
  <w:num w:numId="17">
    <w:abstractNumId w:val="20"/>
  </w:num>
  <w:num w:numId="18">
    <w:abstractNumId w:val="4"/>
  </w:num>
  <w:num w:numId="19">
    <w:abstractNumId w:val="9"/>
  </w:num>
  <w:num w:numId="20">
    <w:abstractNumId w:val="6"/>
  </w:num>
  <w:num w:numId="21">
    <w:abstractNumId w:val="26"/>
  </w:num>
  <w:num w:numId="22">
    <w:abstractNumId w:val="15"/>
  </w:num>
  <w:num w:numId="23">
    <w:abstractNumId w:val="22"/>
  </w:num>
  <w:num w:numId="24">
    <w:abstractNumId w:val="14"/>
  </w:num>
  <w:num w:numId="25">
    <w:abstractNumId w:val="29"/>
  </w:num>
  <w:num w:numId="26">
    <w:abstractNumId w:val="19"/>
  </w:num>
  <w:num w:numId="27">
    <w:abstractNumId w:val="17"/>
  </w:num>
  <w:num w:numId="28">
    <w:abstractNumId w:val="11"/>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82"/>
    <w:rsid w:val="0001292B"/>
    <w:rsid w:val="000231F4"/>
    <w:rsid w:val="00023704"/>
    <w:rsid w:val="00025135"/>
    <w:rsid w:val="00055845"/>
    <w:rsid w:val="00077314"/>
    <w:rsid w:val="0009345E"/>
    <w:rsid w:val="000C0638"/>
    <w:rsid w:val="000F71A7"/>
    <w:rsid w:val="00122D96"/>
    <w:rsid w:val="00152CF6"/>
    <w:rsid w:val="001911C0"/>
    <w:rsid w:val="00194286"/>
    <w:rsid w:val="001D15AC"/>
    <w:rsid w:val="001E6C99"/>
    <w:rsid w:val="00204757"/>
    <w:rsid w:val="0020572E"/>
    <w:rsid w:val="00211B3E"/>
    <w:rsid w:val="002A62CB"/>
    <w:rsid w:val="002A73A9"/>
    <w:rsid w:val="002B5BB5"/>
    <w:rsid w:val="003362C8"/>
    <w:rsid w:val="00382DE1"/>
    <w:rsid w:val="0039216F"/>
    <w:rsid w:val="00414B83"/>
    <w:rsid w:val="004159AA"/>
    <w:rsid w:val="004627AA"/>
    <w:rsid w:val="00484A80"/>
    <w:rsid w:val="004A1E0C"/>
    <w:rsid w:val="004A3B9B"/>
    <w:rsid w:val="004B7354"/>
    <w:rsid w:val="004C032C"/>
    <w:rsid w:val="00534D9B"/>
    <w:rsid w:val="0054682F"/>
    <w:rsid w:val="00567597"/>
    <w:rsid w:val="00595A6E"/>
    <w:rsid w:val="005B73C7"/>
    <w:rsid w:val="005E53A1"/>
    <w:rsid w:val="00602631"/>
    <w:rsid w:val="00644A36"/>
    <w:rsid w:val="006473B1"/>
    <w:rsid w:val="00656EE0"/>
    <w:rsid w:val="00675000"/>
    <w:rsid w:val="00686E65"/>
    <w:rsid w:val="00692F60"/>
    <w:rsid w:val="006A116F"/>
    <w:rsid w:val="006C44F9"/>
    <w:rsid w:val="006C4D30"/>
    <w:rsid w:val="006E3BB3"/>
    <w:rsid w:val="00712E0C"/>
    <w:rsid w:val="0073085C"/>
    <w:rsid w:val="00786C82"/>
    <w:rsid w:val="00792F6C"/>
    <w:rsid w:val="007B7B56"/>
    <w:rsid w:val="007C47E7"/>
    <w:rsid w:val="00875F00"/>
    <w:rsid w:val="008A42E4"/>
    <w:rsid w:val="008D389E"/>
    <w:rsid w:val="008D7983"/>
    <w:rsid w:val="00917999"/>
    <w:rsid w:val="0092464D"/>
    <w:rsid w:val="009F4872"/>
    <w:rsid w:val="009F711A"/>
    <w:rsid w:val="00A36707"/>
    <w:rsid w:val="00A50E27"/>
    <w:rsid w:val="00A61A00"/>
    <w:rsid w:val="00A62104"/>
    <w:rsid w:val="00A80EF4"/>
    <w:rsid w:val="00A94A8A"/>
    <w:rsid w:val="00AC4455"/>
    <w:rsid w:val="00AC6444"/>
    <w:rsid w:val="00AF25F2"/>
    <w:rsid w:val="00B00F77"/>
    <w:rsid w:val="00B01343"/>
    <w:rsid w:val="00B56B6A"/>
    <w:rsid w:val="00B77E99"/>
    <w:rsid w:val="00B91AD2"/>
    <w:rsid w:val="00BB0E18"/>
    <w:rsid w:val="00C16CCF"/>
    <w:rsid w:val="00C26E30"/>
    <w:rsid w:val="00C27F88"/>
    <w:rsid w:val="00C37CB3"/>
    <w:rsid w:val="00C56496"/>
    <w:rsid w:val="00C65EA9"/>
    <w:rsid w:val="00CB56F4"/>
    <w:rsid w:val="00CE428D"/>
    <w:rsid w:val="00D27E9E"/>
    <w:rsid w:val="00DC4211"/>
    <w:rsid w:val="00DD5707"/>
    <w:rsid w:val="00E362E4"/>
    <w:rsid w:val="00E70EDF"/>
    <w:rsid w:val="00E77BC2"/>
    <w:rsid w:val="00E97B9F"/>
    <w:rsid w:val="00EB0A29"/>
    <w:rsid w:val="00EC3AA8"/>
    <w:rsid w:val="00F1707A"/>
    <w:rsid w:val="00F60776"/>
    <w:rsid w:val="00F91BD4"/>
    <w:rsid w:val="00FA1AA2"/>
    <w:rsid w:val="00FE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132B5E"/>
  <w15:chartTrackingRefBased/>
  <w15:docId w15:val="{89EB748A-CC19-4FE5-A397-FBAA2D7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0E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86C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C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6C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62CB"/>
    <w:pPr>
      <w:ind w:left="720"/>
      <w:contextualSpacing/>
    </w:pPr>
  </w:style>
  <w:style w:type="paragraph" w:customStyle="1" w:styleId="CustomStyle">
    <w:name w:val="Custom Style"/>
    <w:basedOn w:val="Normal"/>
    <w:link w:val="CustomStyleChar"/>
    <w:qFormat/>
    <w:rsid w:val="006E3BB3"/>
    <w:rPr>
      <w:sz w:val="24"/>
      <w:szCs w:val="24"/>
    </w:rPr>
  </w:style>
  <w:style w:type="paragraph" w:styleId="IntenseQuote">
    <w:name w:val="Intense Quote"/>
    <w:basedOn w:val="Normal"/>
    <w:next w:val="Normal"/>
    <w:link w:val="IntenseQuoteChar"/>
    <w:uiPriority w:val="30"/>
    <w:qFormat/>
    <w:rsid w:val="0001292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ustomStyleChar">
    <w:name w:val="Custom Style Char"/>
    <w:basedOn w:val="DefaultParagraphFont"/>
    <w:link w:val="CustomStyle"/>
    <w:rsid w:val="006E3BB3"/>
    <w:rPr>
      <w:sz w:val="24"/>
      <w:szCs w:val="24"/>
    </w:rPr>
  </w:style>
  <w:style w:type="character" w:customStyle="1" w:styleId="IntenseQuoteChar">
    <w:name w:val="Intense Quote Char"/>
    <w:basedOn w:val="DefaultParagraphFont"/>
    <w:link w:val="IntenseQuote"/>
    <w:uiPriority w:val="30"/>
    <w:rsid w:val="0001292B"/>
    <w:rPr>
      <w:i/>
      <w:iCs/>
      <w:color w:val="4F81BD" w:themeColor="accent1"/>
    </w:rPr>
  </w:style>
  <w:style w:type="table" w:styleId="TableGrid">
    <w:name w:val="Table Grid"/>
    <w:basedOn w:val="TableNormal"/>
    <w:uiPriority w:val="59"/>
    <w:rsid w:val="00AF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D15AC"/>
    <w:rPr>
      <w:i/>
      <w:iCs/>
      <w:color w:val="4F81BD" w:themeColor="accent1"/>
    </w:rPr>
  </w:style>
  <w:style w:type="paragraph" w:styleId="BalloonText">
    <w:name w:val="Balloon Text"/>
    <w:basedOn w:val="Normal"/>
    <w:link w:val="BalloonTextChar"/>
    <w:uiPriority w:val="99"/>
    <w:semiHidden/>
    <w:unhideWhenUsed/>
    <w:rsid w:val="00A61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A00"/>
    <w:rPr>
      <w:rFonts w:ascii="Segoe UI" w:hAnsi="Segoe UI" w:cs="Segoe UI"/>
      <w:sz w:val="18"/>
      <w:szCs w:val="18"/>
    </w:rPr>
  </w:style>
  <w:style w:type="paragraph" w:customStyle="1" w:styleId="Default">
    <w:name w:val="Default"/>
    <w:rsid w:val="00FA1AA2"/>
    <w:pPr>
      <w:autoSpaceDE w:val="0"/>
      <w:autoSpaceDN w:val="0"/>
      <w:adjustRightInd w:val="0"/>
      <w:spacing w:after="0" w:line="240" w:lineRule="auto"/>
    </w:pPr>
    <w:rPr>
      <w:rFonts w:ascii="Trebuchet MS" w:hAnsi="Trebuchet MS" w:cs="Trebuchet MS"/>
      <w:color w:val="000000"/>
      <w:sz w:val="24"/>
      <w:szCs w:val="24"/>
    </w:rPr>
  </w:style>
  <w:style w:type="table" w:styleId="GridTable4">
    <w:name w:val="Grid Table 4"/>
    <w:basedOn w:val="TableNormal"/>
    <w:uiPriority w:val="49"/>
    <w:rsid w:val="00BB0E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B0E1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C37CB3"/>
    <w:rPr>
      <w:color w:val="0000FF" w:themeColor="hyperlink"/>
      <w:u w:val="single"/>
    </w:rPr>
  </w:style>
  <w:style w:type="character" w:styleId="FollowedHyperlink">
    <w:name w:val="FollowedHyperlink"/>
    <w:basedOn w:val="DefaultParagraphFont"/>
    <w:uiPriority w:val="99"/>
    <w:semiHidden/>
    <w:unhideWhenUsed/>
    <w:rsid w:val="00534D9B"/>
    <w:rPr>
      <w:color w:val="800080" w:themeColor="followedHyperlink"/>
      <w:u w:val="single"/>
    </w:rPr>
  </w:style>
  <w:style w:type="character" w:customStyle="1" w:styleId="Heading1Char">
    <w:name w:val="Heading 1 Char"/>
    <w:basedOn w:val="DefaultParagraphFont"/>
    <w:link w:val="Heading1"/>
    <w:uiPriority w:val="9"/>
    <w:rsid w:val="00A80EF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80EF4"/>
    <w:pPr>
      <w:spacing w:line="259" w:lineRule="auto"/>
      <w:outlineLvl w:val="9"/>
    </w:pPr>
  </w:style>
  <w:style w:type="paragraph" w:styleId="TOC2">
    <w:name w:val="toc 2"/>
    <w:basedOn w:val="Normal"/>
    <w:next w:val="Normal"/>
    <w:autoRedefine/>
    <w:uiPriority w:val="39"/>
    <w:unhideWhenUsed/>
    <w:rsid w:val="00A80EF4"/>
    <w:pPr>
      <w:spacing w:after="100"/>
      <w:ind w:left="220"/>
    </w:pPr>
  </w:style>
  <w:style w:type="paragraph" w:styleId="TOC1">
    <w:name w:val="toc 1"/>
    <w:basedOn w:val="Normal"/>
    <w:next w:val="Normal"/>
    <w:autoRedefine/>
    <w:uiPriority w:val="39"/>
    <w:unhideWhenUsed/>
    <w:rsid w:val="00A80EF4"/>
    <w:pPr>
      <w:spacing w:after="100"/>
    </w:pPr>
  </w:style>
  <w:style w:type="paragraph" w:styleId="Header">
    <w:name w:val="header"/>
    <w:basedOn w:val="Normal"/>
    <w:link w:val="HeaderChar"/>
    <w:uiPriority w:val="99"/>
    <w:unhideWhenUsed/>
    <w:rsid w:val="00025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135"/>
  </w:style>
  <w:style w:type="paragraph" w:styleId="Footer">
    <w:name w:val="footer"/>
    <w:basedOn w:val="Normal"/>
    <w:link w:val="FooterChar"/>
    <w:uiPriority w:val="99"/>
    <w:unhideWhenUsed/>
    <w:rsid w:val="0002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21apr.ed.gov"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21apr.ed.gov" TargetMode="External"/><Relationship Id="rId2" Type="http://schemas.openxmlformats.org/officeDocument/2006/relationships/numbering" Target="numbering.xml"/><Relationship Id="rId16" Type="http://schemas.openxmlformats.org/officeDocument/2006/relationships/hyperlink" Target="mailto:ann.kaltenbach@state.or.u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kkollasch@msd.k12.or.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8779-3C54-46F9-9343-3D33BA42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Raquel - ODE</dc:creator>
  <cp:keywords/>
  <dc:description/>
  <cp:lastModifiedBy>marvinr</cp:lastModifiedBy>
  <cp:revision>3</cp:revision>
  <cp:lastPrinted>2018-05-21T22:52:00Z</cp:lastPrinted>
  <dcterms:created xsi:type="dcterms:W3CDTF">2018-05-22T23:02:00Z</dcterms:created>
  <dcterms:modified xsi:type="dcterms:W3CDTF">2018-06-07T15:45:00Z</dcterms:modified>
</cp:coreProperties>
</file>