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CC" w:rsidRPr="004E1850" w:rsidRDefault="00A669CC">
      <w:pPr>
        <w:rPr>
          <w:rFonts w:asciiTheme="minorHAnsi" w:hAnsiTheme="minorHAnsi"/>
        </w:rPr>
      </w:pPr>
      <w:r w:rsidRPr="004E1850">
        <w:rPr>
          <w:rFonts w:asciiTheme="minorHAnsi" w:hAnsiTheme="minorHAnsi"/>
        </w:rPr>
        <w:t>November 18, 2015</w:t>
      </w:r>
      <w:r w:rsidRPr="004E1850">
        <w:rPr>
          <w:rFonts w:asciiTheme="minorHAnsi" w:hAnsiTheme="minorHAnsi"/>
        </w:rPr>
        <w:tab/>
      </w:r>
      <w:r w:rsidRPr="004E1850">
        <w:rPr>
          <w:rFonts w:asciiTheme="minorHAnsi" w:hAnsiTheme="minorHAnsi"/>
        </w:rPr>
        <w:tab/>
      </w:r>
      <w:r w:rsidRPr="004E1850">
        <w:rPr>
          <w:rFonts w:asciiTheme="minorHAnsi" w:hAnsiTheme="minorHAnsi"/>
        </w:rPr>
        <w:tab/>
      </w:r>
      <w:r w:rsidRPr="004E1850">
        <w:rPr>
          <w:rFonts w:asciiTheme="minorHAnsi" w:hAnsiTheme="minorHAnsi"/>
        </w:rPr>
        <w:tab/>
      </w:r>
      <w:r w:rsidRPr="004E1850">
        <w:rPr>
          <w:rFonts w:asciiTheme="minorHAnsi" w:hAnsiTheme="minorHAnsi"/>
        </w:rPr>
        <w:tab/>
      </w:r>
      <w:r w:rsidRPr="004E1850">
        <w:rPr>
          <w:rFonts w:asciiTheme="minorHAnsi" w:hAnsiTheme="minorHAnsi"/>
        </w:rPr>
        <w:tab/>
      </w:r>
      <w:r w:rsidRPr="004E1850">
        <w:rPr>
          <w:rFonts w:asciiTheme="minorHAnsi" w:hAnsiTheme="minorHAnsi"/>
        </w:rPr>
        <w:tab/>
        <w:t>Western Oregon University</w:t>
      </w:r>
      <w:r w:rsidRPr="004E1850">
        <w:rPr>
          <w:rFonts w:asciiTheme="minorHAnsi" w:hAnsiTheme="minorHAnsi"/>
        </w:rPr>
        <w:tab/>
      </w:r>
      <w:r w:rsidRPr="004E1850">
        <w:rPr>
          <w:rFonts w:asciiTheme="minorHAnsi" w:hAnsiTheme="minorHAnsi"/>
        </w:rPr>
        <w:tab/>
      </w:r>
    </w:p>
    <w:p w:rsidR="00A669CC" w:rsidRPr="004E1850" w:rsidRDefault="004E1850" w:rsidP="004E1850">
      <w:pPr>
        <w:tabs>
          <w:tab w:val="left" w:pos="1215"/>
        </w:tabs>
        <w:rPr>
          <w:rFonts w:asciiTheme="minorHAnsi" w:hAnsiTheme="minorHAnsi"/>
        </w:rPr>
      </w:pPr>
      <w:r w:rsidRPr="004E1850">
        <w:rPr>
          <w:rFonts w:asciiTheme="minorHAnsi" w:hAnsiTheme="minorHAnsi"/>
        </w:rPr>
        <w:tab/>
      </w:r>
    </w:p>
    <w:p w:rsidR="00A669CC" w:rsidRPr="004E1850" w:rsidRDefault="00A669CC" w:rsidP="00A669CC">
      <w:pPr>
        <w:jc w:val="center"/>
        <w:rPr>
          <w:rFonts w:asciiTheme="minorHAnsi" w:hAnsiTheme="minorHAnsi"/>
          <w:b/>
        </w:rPr>
      </w:pPr>
      <w:r w:rsidRPr="004E1850">
        <w:rPr>
          <w:rFonts w:asciiTheme="minorHAnsi" w:hAnsiTheme="minorHAnsi"/>
        </w:rPr>
        <w:t>2</w:t>
      </w:r>
      <w:r w:rsidRPr="004E1850">
        <w:rPr>
          <w:rFonts w:asciiTheme="minorHAnsi" w:hAnsiTheme="minorHAnsi"/>
          <w:b/>
        </w:rPr>
        <w:t>1</w:t>
      </w:r>
      <w:r w:rsidRPr="004E1850">
        <w:rPr>
          <w:rFonts w:asciiTheme="minorHAnsi" w:hAnsiTheme="minorHAnsi"/>
          <w:b/>
          <w:vertAlign w:val="superscript"/>
        </w:rPr>
        <w:t>st</w:t>
      </w:r>
      <w:r w:rsidRPr="004E1850">
        <w:rPr>
          <w:rFonts w:asciiTheme="minorHAnsi" w:hAnsiTheme="minorHAnsi"/>
          <w:b/>
        </w:rPr>
        <w:t xml:space="preserve"> c. Community Learning Centers &amp; McKinney-Vento Liaisons</w:t>
      </w:r>
    </w:p>
    <w:p w:rsidR="00A669CC" w:rsidRDefault="00A669CC" w:rsidP="00A669CC">
      <w:pPr>
        <w:jc w:val="center"/>
        <w:rPr>
          <w:rFonts w:asciiTheme="minorHAnsi" w:hAnsiTheme="minorHAnsi"/>
          <w:b/>
        </w:rPr>
      </w:pPr>
      <w:r w:rsidRPr="004E1850">
        <w:rPr>
          <w:rFonts w:asciiTheme="minorHAnsi" w:hAnsiTheme="minorHAnsi"/>
          <w:b/>
        </w:rPr>
        <w:t>Collaboration Pilots</w:t>
      </w:r>
    </w:p>
    <w:p w:rsidR="00FE175F" w:rsidRPr="004E1850" w:rsidRDefault="00FE175F" w:rsidP="00A669CC">
      <w:pPr>
        <w:jc w:val="center"/>
        <w:rPr>
          <w:rFonts w:asciiTheme="minorHAnsi" w:hAnsiTheme="minorHAnsi"/>
          <w:b/>
        </w:rPr>
      </w:pPr>
    </w:p>
    <w:p w:rsidR="004034B0" w:rsidRPr="004E1850" w:rsidRDefault="004034B0" w:rsidP="004034B0">
      <w:pPr>
        <w:rPr>
          <w:rFonts w:asciiTheme="minorHAnsi" w:hAnsiTheme="minorHAnsi"/>
        </w:rPr>
      </w:pPr>
      <w:r w:rsidRPr="004E1850">
        <w:rPr>
          <w:rFonts w:asciiTheme="minorHAnsi" w:hAnsiTheme="minorHAnsi"/>
          <w:b/>
        </w:rPr>
        <w:t>PURPOSE</w:t>
      </w:r>
      <w:r w:rsidR="004E1850" w:rsidRPr="004E1850">
        <w:rPr>
          <w:rFonts w:asciiTheme="minorHAnsi" w:hAnsiTheme="minorHAnsi"/>
          <w:b/>
        </w:rPr>
        <w:t xml:space="preserve">: </w:t>
      </w:r>
      <w:r w:rsidR="004E1850" w:rsidRPr="004E1850">
        <w:rPr>
          <w:rFonts w:asciiTheme="minorHAnsi" w:hAnsiTheme="minorHAnsi"/>
        </w:rPr>
        <w:t>t</w:t>
      </w:r>
      <w:r w:rsidRPr="004E1850">
        <w:rPr>
          <w:rFonts w:asciiTheme="minorHAnsi" w:hAnsiTheme="minorHAnsi"/>
        </w:rPr>
        <w:t>o enhance collaboration between these two federal programs to extend opportunities to students with significant service needs.</w:t>
      </w:r>
    </w:p>
    <w:p w:rsidR="004034B0" w:rsidRPr="004E1850" w:rsidRDefault="004034B0" w:rsidP="004034B0">
      <w:pPr>
        <w:rPr>
          <w:rFonts w:asciiTheme="minorHAnsi" w:hAnsiTheme="minorHAnsi"/>
        </w:rPr>
      </w:pPr>
      <w:bookmarkStart w:id="0" w:name="_GoBack"/>
      <w:bookmarkEnd w:id="0"/>
    </w:p>
    <w:p w:rsidR="004E1850" w:rsidRDefault="004034B0" w:rsidP="004034B0">
      <w:pPr>
        <w:rPr>
          <w:rFonts w:asciiTheme="minorHAnsi" w:hAnsiTheme="minorHAnsi"/>
          <w:b/>
        </w:rPr>
      </w:pPr>
      <w:r w:rsidRPr="004E1850">
        <w:rPr>
          <w:rFonts w:asciiTheme="minorHAnsi" w:hAnsiTheme="minorHAnsi"/>
          <w:b/>
        </w:rPr>
        <w:t>SELECTION OF SITES</w:t>
      </w:r>
    </w:p>
    <w:p w:rsidR="004034B0" w:rsidRPr="004E1850" w:rsidRDefault="004E1850" w:rsidP="004034B0">
      <w:pPr>
        <w:rPr>
          <w:rFonts w:asciiTheme="minorHAnsi" w:hAnsiTheme="minorHAnsi"/>
        </w:rPr>
      </w:pPr>
      <w:r>
        <w:rPr>
          <w:rFonts w:asciiTheme="minorHAnsi" w:hAnsiTheme="minorHAnsi"/>
        </w:rPr>
        <w:t>T</w:t>
      </w:r>
      <w:r w:rsidRPr="004E1850">
        <w:rPr>
          <w:rFonts w:asciiTheme="minorHAnsi" w:hAnsiTheme="minorHAnsi"/>
        </w:rPr>
        <w:t xml:space="preserve">he </w:t>
      </w:r>
      <w:r w:rsidR="004034B0" w:rsidRPr="004E1850">
        <w:rPr>
          <w:rFonts w:asciiTheme="minorHAnsi" w:hAnsiTheme="minorHAnsi"/>
        </w:rPr>
        <w:t>six sites selected had one or more of these characteristics:</w:t>
      </w:r>
    </w:p>
    <w:p w:rsidR="004034B0" w:rsidRPr="004E1850" w:rsidRDefault="004034B0" w:rsidP="004034B0">
      <w:pPr>
        <w:pStyle w:val="ListParagraph"/>
        <w:numPr>
          <w:ilvl w:val="0"/>
          <w:numId w:val="1"/>
        </w:numPr>
        <w:rPr>
          <w:rFonts w:asciiTheme="minorHAnsi" w:hAnsiTheme="minorHAnsi"/>
        </w:rPr>
      </w:pPr>
      <w:r w:rsidRPr="004E1850">
        <w:rPr>
          <w:rFonts w:asciiTheme="minorHAnsi" w:hAnsiTheme="minorHAnsi"/>
        </w:rPr>
        <w:t>significant number and/or increase in homeless students in 2014-15</w:t>
      </w:r>
    </w:p>
    <w:p w:rsidR="004034B0" w:rsidRPr="004E1850" w:rsidRDefault="004034B0" w:rsidP="004034B0">
      <w:pPr>
        <w:pStyle w:val="ListParagraph"/>
        <w:numPr>
          <w:ilvl w:val="0"/>
          <w:numId w:val="1"/>
        </w:numPr>
        <w:rPr>
          <w:rFonts w:asciiTheme="minorHAnsi" w:hAnsiTheme="minorHAnsi"/>
        </w:rPr>
      </w:pPr>
      <w:r w:rsidRPr="004E1850">
        <w:rPr>
          <w:rFonts w:asciiTheme="minorHAnsi" w:hAnsiTheme="minorHAnsi"/>
        </w:rPr>
        <w:t>readiness, capacity and experience of the district Liaison Program to expand in this area</w:t>
      </w:r>
    </w:p>
    <w:p w:rsidR="004034B0" w:rsidRPr="004E1850" w:rsidRDefault="004034B0" w:rsidP="004034B0">
      <w:pPr>
        <w:pStyle w:val="ListParagraph"/>
        <w:numPr>
          <w:ilvl w:val="0"/>
          <w:numId w:val="1"/>
        </w:numPr>
        <w:rPr>
          <w:rFonts w:asciiTheme="minorHAnsi" w:hAnsiTheme="minorHAnsi"/>
        </w:rPr>
      </w:pPr>
      <w:r w:rsidRPr="004E1850">
        <w:rPr>
          <w:rFonts w:asciiTheme="minorHAnsi" w:hAnsiTheme="minorHAnsi"/>
        </w:rPr>
        <w:t>needs of local homeless students for access to afterschool opportunities, including transportation</w:t>
      </w:r>
    </w:p>
    <w:p w:rsidR="006825BD" w:rsidRPr="004E1850" w:rsidRDefault="006825BD" w:rsidP="006825BD">
      <w:pPr>
        <w:ind w:firstLine="720"/>
        <w:rPr>
          <w:rFonts w:asciiTheme="minorHAnsi" w:hAnsiTheme="minorHAnsi" w:cs="Arial"/>
        </w:rPr>
      </w:pPr>
    </w:p>
    <w:tbl>
      <w:tblPr>
        <w:tblW w:w="6247" w:type="dxa"/>
        <w:jc w:val="center"/>
        <w:tblInd w:w="-23" w:type="dxa"/>
        <w:tblLook w:val="04A0" w:firstRow="1" w:lastRow="0" w:firstColumn="1" w:lastColumn="0" w:noHBand="0" w:noVBand="1"/>
      </w:tblPr>
      <w:tblGrid>
        <w:gridCol w:w="1712"/>
        <w:gridCol w:w="1056"/>
        <w:gridCol w:w="1177"/>
        <w:gridCol w:w="1233"/>
        <w:gridCol w:w="1069"/>
      </w:tblGrid>
      <w:tr w:rsidR="006825BD" w:rsidRPr="004E1850" w:rsidTr="00FE175F">
        <w:trPr>
          <w:trHeight w:val="583"/>
          <w:jc w:val="center"/>
        </w:trPr>
        <w:tc>
          <w:tcPr>
            <w:tcW w:w="17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6825BD" w:rsidRPr="004E1850" w:rsidRDefault="006825BD" w:rsidP="00DD1B1F">
            <w:pPr>
              <w:jc w:val="center"/>
              <w:rPr>
                <w:rFonts w:asciiTheme="minorHAnsi" w:hAnsiTheme="minorHAnsi"/>
                <w:b/>
                <w:bCs/>
                <w:color w:val="1F497D"/>
              </w:rPr>
            </w:pPr>
            <w:r w:rsidRPr="004E1850">
              <w:rPr>
                <w:rFonts w:asciiTheme="minorHAnsi" w:hAnsiTheme="minorHAnsi"/>
                <w:b/>
                <w:bCs/>
              </w:rPr>
              <w:t>DISTRICT</w:t>
            </w:r>
          </w:p>
        </w:tc>
        <w:tc>
          <w:tcPr>
            <w:tcW w:w="106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2013-14 COUNT</w:t>
            </w:r>
          </w:p>
        </w:tc>
        <w:tc>
          <w:tcPr>
            <w:tcW w:w="119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2014-15 COUNT</w:t>
            </w:r>
          </w:p>
        </w:tc>
        <w:tc>
          <w:tcPr>
            <w:tcW w:w="1191" w:type="dxa"/>
            <w:tcBorders>
              <w:top w:val="single" w:sz="8" w:space="0" w:color="auto"/>
              <w:left w:val="single" w:sz="4" w:space="0" w:color="auto"/>
              <w:bottom w:val="single" w:sz="8" w:space="0" w:color="auto"/>
              <w:right w:val="single" w:sz="4" w:space="0" w:color="auto"/>
            </w:tcBorders>
            <w:shd w:val="clear" w:color="auto" w:fill="C6D9F1" w:themeFill="text2" w:themeFillTint="33"/>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Count difference</w:t>
            </w:r>
          </w:p>
        </w:tc>
        <w:tc>
          <w:tcPr>
            <w:tcW w:w="1070"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Percent Increase</w:t>
            </w:r>
          </w:p>
        </w:tc>
      </w:tr>
      <w:tr w:rsidR="006825BD" w:rsidRPr="004E1850" w:rsidTr="00FE175F">
        <w:trPr>
          <w:trHeight w:val="430"/>
          <w:jc w:val="center"/>
        </w:trPr>
        <w:tc>
          <w:tcPr>
            <w:tcW w:w="17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825BD" w:rsidRPr="004E1850" w:rsidRDefault="006825BD" w:rsidP="00DD1B1F">
            <w:pPr>
              <w:rPr>
                <w:rFonts w:asciiTheme="minorHAnsi" w:hAnsiTheme="minorHAnsi"/>
                <w:b/>
                <w:bCs/>
                <w:color w:val="1F497D"/>
              </w:rPr>
            </w:pPr>
            <w:r w:rsidRPr="004E1850">
              <w:rPr>
                <w:rFonts w:asciiTheme="minorHAnsi" w:hAnsiTheme="minorHAnsi"/>
                <w:b/>
                <w:bCs/>
              </w:rPr>
              <w:t>Lincoln County</w:t>
            </w:r>
          </w:p>
        </w:tc>
        <w:tc>
          <w:tcPr>
            <w:tcW w:w="1062" w:type="dxa"/>
            <w:tcBorders>
              <w:top w:val="single" w:sz="8" w:space="0" w:color="auto"/>
              <w:left w:val="nil"/>
              <w:bottom w:val="single" w:sz="8" w:space="0" w:color="auto"/>
              <w:right w:val="single" w:sz="8"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519</w:t>
            </w:r>
          </w:p>
        </w:tc>
        <w:tc>
          <w:tcPr>
            <w:tcW w:w="1190" w:type="dxa"/>
            <w:tcBorders>
              <w:top w:val="single" w:sz="8" w:space="0" w:color="auto"/>
              <w:left w:val="nil"/>
              <w:bottom w:val="single" w:sz="8" w:space="0" w:color="auto"/>
              <w:right w:val="single" w:sz="8"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618</w:t>
            </w:r>
          </w:p>
        </w:tc>
        <w:tc>
          <w:tcPr>
            <w:tcW w:w="1191"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99</w:t>
            </w:r>
          </w:p>
        </w:tc>
        <w:tc>
          <w:tcPr>
            <w:tcW w:w="1070" w:type="dxa"/>
            <w:tcBorders>
              <w:top w:val="single" w:sz="8" w:space="0" w:color="auto"/>
              <w:left w:val="nil"/>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+19%</w:t>
            </w:r>
          </w:p>
        </w:tc>
      </w:tr>
      <w:tr w:rsidR="006825BD" w:rsidRPr="004E1850" w:rsidTr="00FE175F">
        <w:trPr>
          <w:trHeight w:val="430"/>
          <w:jc w:val="center"/>
        </w:trPr>
        <w:tc>
          <w:tcPr>
            <w:tcW w:w="1734" w:type="dxa"/>
            <w:tcBorders>
              <w:top w:val="nil"/>
              <w:left w:val="single" w:sz="8" w:space="0" w:color="auto"/>
              <w:bottom w:val="single" w:sz="8" w:space="0" w:color="auto"/>
              <w:right w:val="single" w:sz="8" w:space="0" w:color="auto"/>
            </w:tcBorders>
            <w:shd w:val="clear" w:color="auto" w:fill="FFFFFF"/>
            <w:vAlign w:val="center"/>
            <w:hideMark/>
          </w:tcPr>
          <w:p w:rsidR="006825BD" w:rsidRPr="004E1850" w:rsidRDefault="006825BD" w:rsidP="00DD1B1F">
            <w:pPr>
              <w:rPr>
                <w:rFonts w:asciiTheme="minorHAnsi" w:hAnsiTheme="minorHAnsi"/>
                <w:b/>
                <w:bCs/>
                <w:color w:val="1F497D"/>
              </w:rPr>
            </w:pPr>
            <w:r w:rsidRPr="004E1850">
              <w:rPr>
                <w:rFonts w:asciiTheme="minorHAnsi" w:hAnsiTheme="minorHAnsi"/>
                <w:b/>
                <w:bCs/>
              </w:rPr>
              <w:t>Woodburn</w:t>
            </w:r>
          </w:p>
        </w:tc>
        <w:tc>
          <w:tcPr>
            <w:tcW w:w="1062" w:type="dxa"/>
            <w:tcBorders>
              <w:top w:val="nil"/>
              <w:left w:val="single" w:sz="4" w:space="0" w:color="auto"/>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90</w:t>
            </w:r>
          </w:p>
        </w:tc>
        <w:tc>
          <w:tcPr>
            <w:tcW w:w="1190" w:type="dxa"/>
            <w:tcBorders>
              <w:top w:val="nil"/>
              <w:left w:val="nil"/>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182</w:t>
            </w:r>
          </w:p>
        </w:tc>
        <w:tc>
          <w:tcPr>
            <w:tcW w:w="1191" w:type="dxa"/>
            <w:tcBorders>
              <w:top w:val="nil"/>
              <w:left w:val="nil"/>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92</w:t>
            </w:r>
          </w:p>
        </w:tc>
        <w:tc>
          <w:tcPr>
            <w:tcW w:w="1070" w:type="dxa"/>
            <w:tcBorders>
              <w:top w:val="nil"/>
              <w:left w:val="nil"/>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+102%</w:t>
            </w:r>
          </w:p>
        </w:tc>
      </w:tr>
      <w:tr w:rsidR="006825BD" w:rsidRPr="004E1850" w:rsidTr="00FE175F">
        <w:trPr>
          <w:trHeight w:val="340"/>
          <w:jc w:val="center"/>
        </w:trPr>
        <w:tc>
          <w:tcPr>
            <w:tcW w:w="1734" w:type="dxa"/>
            <w:tcBorders>
              <w:top w:val="nil"/>
              <w:left w:val="single" w:sz="8" w:space="0" w:color="auto"/>
              <w:bottom w:val="single" w:sz="8" w:space="0" w:color="auto"/>
              <w:right w:val="single" w:sz="8" w:space="0" w:color="auto"/>
            </w:tcBorders>
            <w:shd w:val="clear" w:color="auto" w:fill="FFFFFF"/>
            <w:vAlign w:val="center"/>
            <w:hideMark/>
          </w:tcPr>
          <w:p w:rsidR="006825BD" w:rsidRPr="004E1850" w:rsidRDefault="006825BD" w:rsidP="00DD1B1F">
            <w:pPr>
              <w:rPr>
                <w:rFonts w:asciiTheme="minorHAnsi" w:hAnsiTheme="minorHAnsi"/>
                <w:b/>
                <w:bCs/>
                <w:color w:val="1F497D"/>
              </w:rPr>
            </w:pPr>
            <w:r w:rsidRPr="004E1850">
              <w:rPr>
                <w:rFonts w:asciiTheme="minorHAnsi" w:hAnsiTheme="minorHAnsi"/>
                <w:b/>
                <w:bCs/>
              </w:rPr>
              <w:t>Portland</w:t>
            </w:r>
          </w:p>
        </w:tc>
        <w:tc>
          <w:tcPr>
            <w:tcW w:w="1062" w:type="dxa"/>
            <w:tcBorders>
              <w:top w:val="nil"/>
              <w:left w:val="nil"/>
              <w:bottom w:val="single" w:sz="8" w:space="0" w:color="auto"/>
              <w:right w:val="single" w:sz="8"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1239</w:t>
            </w:r>
          </w:p>
        </w:tc>
        <w:tc>
          <w:tcPr>
            <w:tcW w:w="1190" w:type="dxa"/>
            <w:tcBorders>
              <w:top w:val="nil"/>
              <w:left w:val="nil"/>
              <w:bottom w:val="single" w:sz="8" w:space="0" w:color="auto"/>
              <w:right w:val="single" w:sz="8"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1725</w:t>
            </w:r>
          </w:p>
        </w:tc>
        <w:tc>
          <w:tcPr>
            <w:tcW w:w="1191" w:type="dxa"/>
            <w:tcBorders>
              <w:top w:val="nil"/>
              <w:left w:val="single" w:sz="4" w:space="0" w:color="auto"/>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486</w:t>
            </w:r>
          </w:p>
        </w:tc>
        <w:tc>
          <w:tcPr>
            <w:tcW w:w="1070" w:type="dxa"/>
            <w:tcBorders>
              <w:top w:val="nil"/>
              <w:left w:val="nil"/>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+39%</w:t>
            </w:r>
          </w:p>
        </w:tc>
      </w:tr>
      <w:tr w:rsidR="006825BD" w:rsidRPr="004E1850" w:rsidTr="00FE175F">
        <w:trPr>
          <w:trHeight w:val="340"/>
          <w:jc w:val="center"/>
        </w:trPr>
        <w:tc>
          <w:tcPr>
            <w:tcW w:w="1734" w:type="dxa"/>
            <w:tcBorders>
              <w:top w:val="nil"/>
              <w:left w:val="single" w:sz="8" w:space="0" w:color="auto"/>
              <w:bottom w:val="single" w:sz="8" w:space="0" w:color="auto"/>
              <w:right w:val="single" w:sz="8" w:space="0" w:color="auto"/>
            </w:tcBorders>
            <w:shd w:val="clear" w:color="auto" w:fill="FFFFFF"/>
            <w:vAlign w:val="center"/>
            <w:hideMark/>
          </w:tcPr>
          <w:p w:rsidR="006825BD" w:rsidRPr="004E1850" w:rsidRDefault="006825BD" w:rsidP="00DD1B1F">
            <w:pPr>
              <w:rPr>
                <w:rFonts w:asciiTheme="minorHAnsi" w:hAnsiTheme="minorHAnsi"/>
                <w:b/>
                <w:bCs/>
                <w:color w:val="1F497D"/>
              </w:rPr>
            </w:pPr>
            <w:r w:rsidRPr="004E1850">
              <w:rPr>
                <w:rFonts w:asciiTheme="minorHAnsi" w:hAnsiTheme="minorHAnsi"/>
                <w:b/>
                <w:bCs/>
              </w:rPr>
              <w:t>Salem-Keizer</w:t>
            </w:r>
          </w:p>
        </w:tc>
        <w:tc>
          <w:tcPr>
            <w:tcW w:w="1062" w:type="dxa"/>
            <w:tcBorders>
              <w:top w:val="nil"/>
              <w:left w:val="nil"/>
              <w:bottom w:val="single" w:sz="8" w:space="0" w:color="auto"/>
              <w:right w:val="single" w:sz="8"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855</w:t>
            </w:r>
          </w:p>
        </w:tc>
        <w:tc>
          <w:tcPr>
            <w:tcW w:w="1190" w:type="dxa"/>
            <w:tcBorders>
              <w:top w:val="nil"/>
              <w:left w:val="nil"/>
              <w:bottom w:val="single" w:sz="8" w:space="0" w:color="auto"/>
              <w:right w:val="single" w:sz="8"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1043</w:t>
            </w:r>
          </w:p>
        </w:tc>
        <w:tc>
          <w:tcPr>
            <w:tcW w:w="1191" w:type="dxa"/>
            <w:tcBorders>
              <w:top w:val="nil"/>
              <w:left w:val="single" w:sz="4" w:space="0" w:color="auto"/>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188</w:t>
            </w:r>
          </w:p>
        </w:tc>
        <w:tc>
          <w:tcPr>
            <w:tcW w:w="1070" w:type="dxa"/>
            <w:tcBorders>
              <w:top w:val="nil"/>
              <w:left w:val="nil"/>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+22%</w:t>
            </w:r>
          </w:p>
        </w:tc>
      </w:tr>
      <w:tr w:rsidR="006825BD" w:rsidRPr="004E1850" w:rsidTr="00FE175F">
        <w:trPr>
          <w:trHeight w:val="340"/>
          <w:jc w:val="center"/>
        </w:trPr>
        <w:tc>
          <w:tcPr>
            <w:tcW w:w="1734" w:type="dxa"/>
            <w:tcBorders>
              <w:top w:val="nil"/>
              <w:left w:val="single" w:sz="8" w:space="0" w:color="auto"/>
              <w:bottom w:val="single" w:sz="8" w:space="0" w:color="auto"/>
              <w:right w:val="single" w:sz="8" w:space="0" w:color="auto"/>
            </w:tcBorders>
            <w:shd w:val="clear" w:color="auto" w:fill="FFFFFF"/>
            <w:vAlign w:val="center"/>
            <w:hideMark/>
          </w:tcPr>
          <w:p w:rsidR="006825BD" w:rsidRPr="004E1850" w:rsidRDefault="006825BD" w:rsidP="00DD1B1F">
            <w:pPr>
              <w:rPr>
                <w:rFonts w:asciiTheme="minorHAnsi" w:hAnsiTheme="minorHAnsi"/>
                <w:b/>
                <w:bCs/>
                <w:color w:val="1F497D"/>
              </w:rPr>
            </w:pPr>
            <w:r w:rsidRPr="004E1850">
              <w:rPr>
                <w:rFonts w:asciiTheme="minorHAnsi" w:hAnsiTheme="minorHAnsi"/>
                <w:b/>
                <w:bCs/>
              </w:rPr>
              <w:t>Eugene</w:t>
            </w:r>
          </w:p>
        </w:tc>
        <w:tc>
          <w:tcPr>
            <w:tcW w:w="1062" w:type="dxa"/>
            <w:tcBorders>
              <w:top w:val="nil"/>
              <w:left w:val="nil"/>
              <w:bottom w:val="single" w:sz="8" w:space="0" w:color="auto"/>
              <w:right w:val="single" w:sz="8"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702</w:t>
            </w:r>
          </w:p>
        </w:tc>
        <w:tc>
          <w:tcPr>
            <w:tcW w:w="1190" w:type="dxa"/>
            <w:tcBorders>
              <w:top w:val="nil"/>
              <w:left w:val="nil"/>
              <w:bottom w:val="single" w:sz="8" w:space="0" w:color="auto"/>
              <w:right w:val="single" w:sz="8"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780</w:t>
            </w:r>
          </w:p>
        </w:tc>
        <w:tc>
          <w:tcPr>
            <w:tcW w:w="1191" w:type="dxa"/>
            <w:tcBorders>
              <w:top w:val="nil"/>
              <w:left w:val="single" w:sz="4" w:space="0" w:color="auto"/>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78</w:t>
            </w:r>
          </w:p>
        </w:tc>
        <w:tc>
          <w:tcPr>
            <w:tcW w:w="1070" w:type="dxa"/>
            <w:tcBorders>
              <w:top w:val="nil"/>
              <w:left w:val="nil"/>
              <w:bottom w:val="single" w:sz="4" w:space="0" w:color="auto"/>
              <w:right w:val="single" w:sz="4" w:space="0" w:color="auto"/>
            </w:tcBorders>
            <w:shd w:val="clear" w:color="auto" w:fill="FFFFFF"/>
            <w:vAlign w:val="center"/>
            <w:hideMark/>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+11%</w:t>
            </w:r>
          </w:p>
        </w:tc>
      </w:tr>
      <w:tr w:rsidR="006825BD" w:rsidRPr="004E1850" w:rsidTr="00FE175F">
        <w:trPr>
          <w:trHeight w:val="430"/>
          <w:jc w:val="center"/>
        </w:trPr>
        <w:tc>
          <w:tcPr>
            <w:tcW w:w="1734" w:type="dxa"/>
            <w:tcBorders>
              <w:top w:val="nil"/>
              <w:left w:val="single" w:sz="8" w:space="0" w:color="auto"/>
              <w:bottom w:val="single" w:sz="8" w:space="0" w:color="auto"/>
              <w:right w:val="single" w:sz="8" w:space="0" w:color="auto"/>
            </w:tcBorders>
            <w:shd w:val="clear" w:color="auto" w:fill="FFFFFF"/>
            <w:vAlign w:val="center"/>
          </w:tcPr>
          <w:p w:rsidR="006825BD" w:rsidRPr="004E1850" w:rsidRDefault="006825BD" w:rsidP="00DD1B1F">
            <w:pPr>
              <w:rPr>
                <w:rFonts w:asciiTheme="minorHAnsi" w:hAnsiTheme="minorHAnsi"/>
                <w:b/>
                <w:bCs/>
              </w:rPr>
            </w:pPr>
            <w:r w:rsidRPr="004E1850">
              <w:rPr>
                <w:rFonts w:asciiTheme="minorHAnsi" w:hAnsiTheme="minorHAnsi"/>
                <w:b/>
                <w:bCs/>
              </w:rPr>
              <w:t>Oregon City</w:t>
            </w:r>
          </w:p>
        </w:tc>
        <w:tc>
          <w:tcPr>
            <w:tcW w:w="1062" w:type="dxa"/>
            <w:tcBorders>
              <w:top w:val="nil"/>
              <w:left w:val="nil"/>
              <w:bottom w:val="single" w:sz="8" w:space="0" w:color="auto"/>
              <w:right w:val="single" w:sz="8" w:space="0" w:color="auto"/>
            </w:tcBorders>
            <w:shd w:val="clear" w:color="auto" w:fill="FFFFFF"/>
            <w:vAlign w:val="center"/>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319</w:t>
            </w:r>
          </w:p>
        </w:tc>
        <w:tc>
          <w:tcPr>
            <w:tcW w:w="1190" w:type="dxa"/>
            <w:tcBorders>
              <w:top w:val="nil"/>
              <w:left w:val="nil"/>
              <w:bottom w:val="single" w:sz="8" w:space="0" w:color="auto"/>
              <w:right w:val="single" w:sz="8" w:space="0" w:color="auto"/>
            </w:tcBorders>
            <w:shd w:val="clear" w:color="auto" w:fill="FFFFFF"/>
            <w:vAlign w:val="center"/>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382</w:t>
            </w:r>
          </w:p>
        </w:tc>
        <w:tc>
          <w:tcPr>
            <w:tcW w:w="1191" w:type="dxa"/>
            <w:tcBorders>
              <w:top w:val="nil"/>
              <w:left w:val="single" w:sz="4" w:space="0" w:color="auto"/>
              <w:bottom w:val="single" w:sz="4" w:space="0" w:color="auto"/>
              <w:right w:val="single" w:sz="4" w:space="0" w:color="auto"/>
            </w:tcBorders>
            <w:shd w:val="clear" w:color="auto" w:fill="FFFFFF"/>
            <w:vAlign w:val="center"/>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63</w:t>
            </w:r>
          </w:p>
        </w:tc>
        <w:tc>
          <w:tcPr>
            <w:tcW w:w="1070" w:type="dxa"/>
            <w:tcBorders>
              <w:top w:val="nil"/>
              <w:left w:val="nil"/>
              <w:bottom w:val="single" w:sz="4" w:space="0" w:color="auto"/>
              <w:right w:val="single" w:sz="4" w:space="0" w:color="auto"/>
            </w:tcBorders>
            <w:shd w:val="clear" w:color="auto" w:fill="FFFFFF"/>
            <w:vAlign w:val="center"/>
          </w:tcPr>
          <w:p w:rsidR="006825BD" w:rsidRPr="004E1850" w:rsidRDefault="006825BD" w:rsidP="00DD1B1F">
            <w:pPr>
              <w:jc w:val="center"/>
              <w:rPr>
                <w:rFonts w:asciiTheme="minorHAnsi" w:hAnsiTheme="minorHAnsi"/>
                <w:b/>
                <w:bCs/>
                <w:color w:val="000000"/>
              </w:rPr>
            </w:pPr>
            <w:r w:rsidRPr="004E1850">
              <w:rPr>
                <w:rFonts w:asciiTheme="minorHAnsi" w:hAnsiTheme="minorHAnsi"/>
                <w:b/>
                <w:bCs/>
                <w:color w:val="000000"/>
              </w:rPr>
              <w:t>+20%</w:t>
            </w:r>
          </w:p>
        </w:tc>
      </w:tr>
    </w:tbl>
    <w:p w:rsidR="006825BD" w:rsidRPr="004E1850" w:rsidRDefault="006825BD" w:rsidP="006825BD">
      <w:pPr>
        <w:rPr>
          <w:rFonts w:asciiTheme="minorHAnsi" w:hAnsiTheme="minorHAnsi"/>
        </w:rPr>
      </w:pPr>
    </w:p>
    <w:p w:rsidR="00115044" w:rsidRPr="004E1850" w:rsidRDefault="004E1850" w:rsidP="00115044">
      <w:pPr>
        <w:rPr>
          <w:rFonts w:asciiTheme="minorHAnsi" w:hAnsiTheme="minorHAnsi"/>
          <w:b/>
        </w:rPr>
      </w:pPr>
      <w:r w:rsidRPr="004E1850">
        <w:rPr>
          <w:rFonts w:asciiTheme="minorHAnsi" w:hAnsiTheme="minorHAnsi"/>
          <w:b/>
        </w:rPr>
        <w:t>SERVING HOMELESS STUDENTS</w:t>
      </w:r>
      <w:r w:rsidR="00FE175F">
        <w:rPr>
          <w:rFonts w:asciiTheme="minorHAnsi" w:hAnsiTheme="minorHAnsi"/>
          <w:b/>
        </w:rPr>
        <w:t xml:space="preserve"> IN AFTERSCHOOL SETTINGS</w:t>
      </w:r>
    </w:p>
    <w:p w:rsidR="00115044" w:rsidRDefault="004E1850" w:rsidP="00115044">
      <w:pPr>
        <w:rPr>
          <w:rFonts w:asciiTheme="minorHAnsi" w:hAnsiTheme="minorHAnsi"/>
        </w:rPr>
      </w:pPr>
      <w:r>
        <w:rPr>
          <w:rFonts w:asciiTheme="minorHAnsi" w:hAnsiTheme="minorHAnsi"/>
        </w:rPr>
        <w:t>Key district personnel in identifying, placing and providing assistance and support a</w:t>
      </w:r>
      <w:r w:rsidR="00FE175F">
        <w:rPr>
          <w:rFonts w:asciiTheme="minorHAnsi" w:hAnsiTheme="minorHAnsi"/>
        </w:rPr>
        <w:t xml:space="preserve">re District Homeless Liaisons. </w:t>
      </w:r>
      <w:r>
        <w:rPr>
          <w:rFonts w:asciiTheme="minorHAnsi" w:hAnsiTheme="minorHAnsi"/>
        </w:rPr>
        <w:t xml:space="preserve">This Pilot Program will help to explore how afterschool programs and Liaisons can work together in to meet the </w:t>
      </w:r>
      <w:r w:rsidR="00FE175F">
        <w:rPr>
          <w:rFonts w:asciiTheme="minorHAnsi" w:hAnsiTheme="minorHAnsi"/>
        </w:rPr>
        <w:t xml:space="preserve">unique </w:t>
      </w:r>
      <w:r>
        <w:rPr>
          <w:rFonts w:asciiTheme="minorHAnsi" w:hAnsiTheme="minorHAnsi"/>
        </w:rPr>
        <w:t>needs of homeless students.</w:t>
      </w:r>
    </w:p>
    <w:p w:rsidR="004E1850" w:rsidRDefault="004E1850" w:rsidP="00115044">
      <w:pPr>
        <w:rPr>
          <w:rFonts w:asciiTheme="minorHAnsi" w:hAnsiTheme="minorHAnsi"/>
        </w:rPr>
      </w:pPr>
    </w:p>
    <w:p w:rsidR="004E1850" w:rsidRDefault="004E1850" w:rsidP="00115044">
      <w:pPr>
        <w:rPr>
          <w:rFonts w:asciiTheme="minorHAnsi" w:hAnsiTheme="minorHAnsi"/>
        </w:rPr>
      </w:pPr>
      <w:r>
        <w:rPr>
          <w:rFonts w:asciiTheme="minorHAnsi" w:hAnsiTheme="minorHAnsi"/>
        </w:rPr>
        <w:t>Areas of special interest to ODE:</w:t>
      </w:r>
    </w:p>
    <w:p w:rsidR="00FE175F" w:rsidRPr="00FE175F" w:rsidRDefault="00FE175F" w:rsidP="00FE175F">
      <w:pPr>
        <w:pStyle w:val="ListParagraph"/>
        <w:numPr>
          <w:ilvl w:val="0"/>
          <w:numId w:val="5"/>
        </w:numPr>
        <w:rPr>
          <w:rFonts w:asciiTheme="minorHAnsi" w:hAnsiTheme="minorHAnsi"/>
        </w:rPr>
      </w:pPr>
      <w:r>
        <w:rPr>
          <w:rFonts w:asciiTheme="minorHAnsi" w:hAnsiTheme="minorHAnsi"/>
        </w:rPr>
        <w:t xml:space="preserve">Vision and ideas of local program and district staff </w:t>
      </w:r>
    </w:p>
    <w:p w:rsidR="004E1850" w:rsidRDefault="004E1850" w:rsidP="004E1850">
      <w:pPr>
        <w:pStyle w:val="ListParagraph"/>
        <w:numPr>
          <w:ilvl w:val="0"/>
          <w:numId w:val="4"/>
        </w:numPr>
        <w:rPr>
          <w:rFonts w:asciiTheme="minorHAnsi" w:hAnsiTheme="minorHAnsi"/>
        </w:rPr>
      </w:pPr>
      <w:r w:rsidRPr="004E1850">
        <w:rPr>
          <w:rFonts w:asciiTheme="minorHAnsi" w:hAnsiTheme="minorHAnsi"/>
        </w:rPr>
        <w:t>Communication between Liaisons and Afterschool Program Staff</w:t>
      </w:r>
    </w:p>
    <w:p w:rsidR="00FE175F" w:rsidRDefault="00FE175F" w:rsidP="004E1850">
      <w:pPr>
        <w:pStyle w:val="ListParagraph"/>
        <w:numPr>
          <w:ilvl w:val="0"/>
          <w:numId w:val="4"/>
        </w:numPr>
        <w:rPr>
          <w:rFonts w:asciiTheme="minorHAnsi" w:hAnsiTheme="minorHAnsi"/>
        </w:rPr>
      </w:pPr>
      <w:r>
        <w:rPr>
          <w:rFonts w:asciiTheme="minorHAnsi" w:hAnsiTheme="minorHAnsi"/>
        </w:rPr>
        <w:t>Unique needs of homeless students in afterschool programs</w:t>
      </w:r>
    </w:p>
    <w:p w:rsidR="003F083C" w:rsidRDefault="003F083C" w:rsidP="003F083C">
      <w:pPr>
        <w:pStyle w:val="ListParagraph"/>
        <w:numPr>
          <w:ilvl w:val="0"/>
          <w:numId w:val="4"/>
        </w:numPr>
        <w:rPr>
          <w:rFonts w:asciiTheme="minorHAnsi" w:hAnsiTheme="minorHAnsi"/>
        </w:rPr>
      </w:pPr>
      <w:r>
        <w:rPr>
          <w:rFonts w:asciiTheme="minorHAnsi" w:hAnsiTheme="minorHAnsi"/>
        </w:rPr>
        <w:t>Solutions to transportation issues, other logistics</w:t>
      </w:r>
    </w:p>
    <w:p w:rsidR="004E1850" w:rsidRPr="003F083C" w:rsidRDefault="004E1850" w:rsidP="003F083C">
      <w:pPr>
        <w:pStyle w:val="ListParagraph"/>
        <w:numPr>
          <w:ilvl w:val="0"/>
          <w:numId w:val="4"/>
        </w:numPr>
        <w:rPr>
          <w:rFonts w:asciiTheme="minorHAnsi" w:hAnsiTheme="minorHAnsi"/>
        </w:rPr>
      </w:pPr>
      <w:r>
        <w:rPr>
          <w:rFonts w:asciiTheme="minorHAnsi" w:hAnsiTheme="minorHAnsi"/>
        </w:rPr>
        <w:t>Data collection possibilities</w:t>
      </w:r>
      <w:r w:rsidR="003F083C">
        <w:rPr>
          <w:rFonts w:asciiTheme="minorHAnsi" w:hAnsiTheme="minorHAnsi"/>
        </w:rPr>
        <w:t>, outcome measurements</w:t>
      </w:r>
    </w:p>
    <w:p w:rsidR="00FE175F" w:rsidRDefault="00FE175F" w:rsidP="004E1850">
      <w:pPr>
        <w:pStyle w:val="ListParagraph"/>
        <w:numPr>
          <w:ilvl w:val="0"/>
          <w:numId w:val="4"/>
        </w:numPr>
        <w:rPr>
          <w:rFonts w:asciiTheme="minorHAnsi" w:hAnsiTheme="minorHAnsi"/>
        </w:rPr>
      </w:pPr>
      <w:r>
        <w:rPr>
          <w:rFonts w:asciiTheme="minorHAnsi" w:hAnsiTheme="minorHAnsi"/>
        </w:rPr>
        <w:t>Appropriate funding levels to meet program goals</w:t>
      </w:r>
    </w:p>
    <w:p w:rsidR="00FE175F" w:rsidRPr="004E1850" w:rsidRDefault="00FE175F" w:rsidP="004E1850">
      <w:pPr>
        <w:pStyle w:val="ListParagraph"/>
        <w:numPr>
          <w:ilvl w:val="0"/>
          <w:numId w:val="4"/>
        </w:numPr>
        <w:rPr>
          <w:rFonts w:asciiTheme="minorHAnsi" w:hAnsiTheme="minorHAnsi"/>
        </w:rPr>
      </w:pPr>
      <w:r>
        <w:rPr>
          <w:rFonts w:asciiTheme="minorHAnsi" w:hAnsiTheme="minorHAnsi"/>
        </w:rPr>
        <w:t>Protection of homeless student privacy</w:t>
      </w:r>
    </w:p>
    <w:p w:rsidR="00115044" w:rsidRDefault="00115044" w:rsidP="00115044">
      <w:pPr>
        <w:rPr>
          <w:rFonts w:asciiTheme="minorHAnsi" w:hAnsiTheme="minorHAnsi"/>
        </w:rPr>
      </w:pPr>
    </w:p>
    <w:p w:rsidR="00FE175F" w:rsidRPr="004E1850" w:rsidRDefault="00FE175F" w:rsidP="00115044">
      <w:pPr>
        <w:rPr>
          <w:rFonts w:asciiTheme="minorHAnsi" w:hAnsiTheme="minorHAnsi"/>
        </w:rPr>
      </w:pPr>
    </w:p>
    <w:p w:rsidR="00FE175F" w:rsidRPr="00FE175F" w:rsidRDefault="00FE175F" w:rsidP="00115044">
      <w:pPr>
        <w:rPr>
          <w:rFonts w:asciiTheme="minorHAnsi" w:hAnsiTheme="minorHAnsi"/>
          <w:b/>
        </w:rPr>
      </w:pPr>
      <w:r w:rsidRPr="00FE175F">
        <w:rPr>
          <w:rFonts w:asciiTheme="minorHAnsi" w:hAnsiTheme="minorHAnsi"/>
          <w:b/>
        </w:rPr>
        <w:t>FOR INFORMATION &amp; ASSISTANCE:</w:t>
      </w:r>
    </w:p>
    <w:p w:rsidR="00FE175F" w:rsidRDefault="00FE175F" w:rsidP="00115044">
      <w:pPr>
        <w:rPr>
          <w:rFonts w:asciiTheme="minorHAnsi" w:hAnsiTheme="minorHAnsi"/>
        </w:rPr>
      </w:pPr>
      <w:r>
        <w:rPr>
          <w:rFonts w:asciiTheme="minorHAnsi" w:hAnsiTheme="minorHAnsi"/>
        </w:rPr>
        <w:tab/>
        <w:t xml:space="preserve">Dona Bolt, State Homeless Education Coordinator:  503-947-5781    </w:t>
      </w:r>
      <w:hyperlink r:id="rId6" w:history="1">
        <w:r w:rsidRPr="003B5806">
          <w:rPr>
            <w:rStyle w:val="Hyperlink"/>
            <w:rFonts w:asciiTheme="minorHAnsi" w:hAnsiTheme="minorHAnsi"/>
          </w:rPr>
          <w:t>dona.bolt@state.or.us</w:t>
        </w:r>
      </w:hyperlink>
      <w:r>
        <w:rPr>
          <w:rFonts w:asciiTheme="minorHAnsi" w:hAnsiTheme="minorHAnsi"/>
        </w:rPr>
        <w:t xml:space="preserve"> </w:t>
      </w:r>
    </w:p>
    <w:p w:rsidR="00FE175F" w:rsidRDefault="00FE175F" w:rsidP="00115044">
      <w:pPr>
        <w:rPr>
          <w:rFonts w:asciiTheme="minorHAnsi" w:hAnsiTheme="minorHAnsi"/>
        </w:rPr>
      </w:pPr>
    </w:p>
    <w:p w:rsidR="00FE175F" w:rsidRDefault="00FE175F" w:rsidP="00115044">
      <w:pPr>
        <w:rPr>
          <w:rFonts w:asciiTheme="minorHAnsi" w:hAnsiTheme="minorHAnsi"/>
        </w:rPr>
      </w:pPr>
    </w:p>
    <w:p w:rsidR="003F083C" w:rsidRDefault="003F083C" w:rsidP="00115044">
      <w:pPr>
        <w:rPr>
          <w:rFonts w:asciiTheme="minorHAnsi" w:hAnsiTheme="minorHAnsi"/>
        </w:rPr>
      </w:pPr>
    </w:p>
    <w:p w:rsidR="003F083C" w:rsidRDefault="003F083C" w:rsidP="00115044">
      <w:pPr>
        <w:rPr>
          <w:rFonts w:asciiTheme="minorHAnsi" w:hAnsiTheme="minorHAnsi"/>
        </w:rPr>
      </w:pPr>
    </w:p>
    <w:p w:rsidR="003F083C" w:rsidRDefault="003F083C" w:rsidP="00115044">
      <w:pPr>
        <w:rPr>
          <w:rFonts w:asciiTheme="minorHAnsi" w:hAnsiTheme="minorHAnsi"/>
        </w:rPr>
      </w:pPr>
    </w:p>
    <w:p w:rsidR="00115044" w:rsidRPr="004E1850" w:rsidRDefault="00115044" w:rsidP="00115044">
      <w:pPr>
        <w:rPr>
          <w:rFonts w:asciiTheme="minorHAnsi" w:hAnsiTheme="minorHAnsi"/>
        </w:rPr>
      </w:pPr>
      <w:r w:rsidRPr="003F083C">
        <w:rPr>
          <w:rFonts w:asciiTheme="minorHAnsi" w:hAnsiTheme="minorHAnsi"/>
          <w:b/>
        </w:rPr>
        <w:t xml:space="preserve">Transportation </w:t>
      </w:r>
      <w:r w:rsidRPr="004E1850">
        <w:rPr>
          <w:rFonts w:asciiTheme="minorHAnsi" w:hAnsiTheme="minorHAnsi"/>
        </w:rPr>
        <w:t>is an essential accommodation to participation by homeless students: this cannot be stressed enough. Coordination with the District Homeless Liaison is how afterschool programs can connect with and draw homeless students into programs.</w:t>
      </w:r>
    </w:p>
    <w:p w:rsidR="00115044" w:rsidRPr="004E1850" w:rsidRDefault="00115044" w:rsidP="00115044">
      <w:pPr>
        <w:rPr>
          <w:rFonts w:asciiTheme="minorHAnsi" w:hAnsiTheme="minorHAnsi"/>
        </w:rPr>
      </w:pPr>
    </w:p>
    <w:p w:rsidR="00115044" w:rsidRPr="004E1850" w:rsidRDefault="00115044" w:rsidP="00115044">
      <w:pPr>
        <w:rPr>
          <w:rFonts w:asciiTheme="minorHAnsi" w:hAnsiTheme="minorHAnsi"/>
        </w:rPr>
      </w:pPr>
      <w:r w:rsidRPr="003F083C">
        <w:rPr>
          <w:rFonts w:asciiTheme="minorHAnsi" w:hAnsiTheme="minorHAnsi"/>
          <w:b/>
        </w:rPr>
        <w:t>Supplemental tutoring</w:t>
      </w:r>
      <w:r w:rsidRPr="004E1850">
        <w:rPr>
          <w:rFonts w:asciiTheme="minorHAnsi" w:hAnsiTheme="minorHAnsi"/>
        </w:rPr>
        <w:t xml:space="preserve"> for homeless students is the first of sixteen Authorized Activities for use of MV subgrant funds. Following are some of the evaluation methods and anticipated outcomes described by MV applicants related to this activity:</w:t>
      </w:r>
    </w:p>
    <w:p w:rsidR="00115044" w:rsidRPr="004E1850" w:rsidRDefault="00115044" w:rsidP="00115044">
      <w:pPr>
        <w:rPr>
          <w:rFonts w:asciiTheme="minorHAnsi" w:hAnsiTheme="minorHAnsi"/>
        </w:rPr>
      </w:pPr>
    </w:p>
    <w:p w:rsidR="003F083C" w:rsidRDefault="003F083C" w:rsidP="00115044">
      <w:pPr>
        <w:rPr>
          <w:rFonts w:asciiTheme="minorHAnsi" w:hAnsiTheme="minorHAnsi"/>
          <w:b/>
          <w:u w:val="single"/>
        </w:rPr>
      </w:pPr>
    </w:p>
    <w:p w:rsidR="00115044" w:rsidRPr="003F083C" w:rsidRDefault="003F083C" w:rsidP="00115044">
      <w:pPr>
        <w:rPr>
          <w:rFonts w:asciiTheme="minorHAnsi" w:hAnsiTheme="minorHAnsi"/>
          <w:b/>
          <w:u w:val="single"/>
        </w:rPr>
      </w:pPr>
      <w:r>
        <w:rPr>
          <w:rFonts w:asciiTheme="minorHAnsi" w:hAnsiTheme="minorHAnsi"/>
          <w:b/>
          <w:u w:val="single"/>
        </w:rPr>
        <w:t xml:space="preserve">EXAMPLES of </w:t>
      </w:r>
      <w:r w:rsidR="00115044" w:rsidRPr="003F083C">
        <w:rPr>
          <w:rFonts w:asciiTheme="minorHAnsi" w:hAnsiTheme="minorHAnsi"/>
          <w:b/>
          <w:u w:val="single"/>
        </w:rPr>
        <w:t>Evaluation Methods/Measurements</w:t>
      </w:r>
    </w:p>
    <w:p w:rsidR="00115044" w:rsidRPr="004E1850" w:rsidRDefault="00115044" w:rsidP="00115044">
      <w:pPr>
        <w:pStyle w:val="ListParagraph"/>
        <w:numPr>
          <w:ilvl w:val="0"/>
          <w:numId w:val="2"/>
        </w:numPr>
        <w:rPr>
          <w:rFonts w:asciiTheme="minorHAnsi" w:hAnsiTheme="minorHAnsi"/>
          <w:u w:val="single"/>
        </w:rPr>
      </w:pPr>
      <w:r w:rsidRPr="004E1850">
        <w:rPr>
          <w:rFonts w:asciiTheme="minorHAnsi" w:hAnsiTheme="minorHAnsi"/>
        </w:rPr>
        <w:t>Smarter Balanced state assessment proficiency/growth</w:t>
      </w:r>
    </w:p>
    <w:p w:rsidR="00115044" w:rsidRPr="004E1850" w:rsidRDefault="00115044" w:rsidP="00115044">
      <w:pPr>
        <w:pStyle w:val="ListParagraph"/>
        <w:numPr>
          <w:ilvl w:val="0"/>
          <w:numId w:val="2"/>
        </w:numPr>
        <w:rPr>
          <w:rFonts w:asciiTheme="minorHAnsi" w:hAnsiTheme="minorHAnsi"/>
          <w:u w:val="single"/>
        </w:rPr>
      </w:pPr>
      <w:r w:rsidRPr="004E1850">
        <w:rPr>
          <w:rFonts w:asciiTheme="minorHAnsi" w:hAnsiTheme="minorHAnsi"/>
        </w:rPr>
        <w:t>Attendance</w:t>
      </w:r>
      <w:r w:rsidR="003F083C">
        <w:rPr>
          <w:rFonts w:asciiTheme="minorHAnsi" w:hAnsiTheme="minorHAnsi"/>
        </w:rPr>
        <w:t>/absenteeism</w:t>
      </w:r>
      <w:r w:rsidRPr="004E1850">
        <w:rPr>
          <w:rFonts w:asciiTheme="minorHAnsi" w:hAnsiTheme="minorHAnsi"/>
        </w:rPr>
        <w:t xml:space="preserve"> rate tracking</w:t>
      </w:r>
    </w:p>
    <w:p w:rsidR="00115044" w:rsidRPr="004E1850" w:rsidRDefault="00115044" w:rsidP="00115044">
      <w:pPr>
        <w:pStyle w:val="ListParagraph"/>
        <w:numPr>
          <w:ilvl w:val="0"/>
          <w:numId w:val="2"/>
        </w:numPr>
        <w:rPr>
          <w:rFonts w:asciiTheme="minorHAnsi" w:hAnsiTheme="minorHAnsi"/>
          <w:u w:val="single"/>
        </w:rPr>
      </w:pPr>
      <w:r w:rsidRPr="004E1850">
        <w:rPr>
          <w:rFonts w:asciiTheme="minorHAnsi" w:hAnsiTheme="minorHAnsi"/>
        </w:rPr>
        <w:t xml:space="preserve">Easy CBM reading scores </w:t>
      </w:r>
    </w:p>
    <w:p w:rsidR="00115044" w:rsidRPr="004E1850" w:rsidRDefault="00115044" w:rsidP="00115044">
      <w:pPr>
        <w:pStyle w:val="ListParagraph"/>
        <w:numPr>
          <w:ilvl w:val="0"/>
          <w:numId w:val="2"/>
        </w:numPr>
        <w:rPr>
          <w:rFonts w:asciiTheme="minorHAnsi" w:hAnsiTheme="minorHAnsi"/>
          <w:u w:val="single"/>
        </w:rPr>
      </w:pPr>
      <w:r w:rsidRPr="004E1850">
        <w:rPr>
          <w:rFonts w:asciiTheme="minorHAnsi" w:hAnsiTheme="minorHAnsi"/>
        </w:rPr>
        <w:t>Credits recovered</w:t>
      </w:r>
    </w:p>
    <w:p w:rsidR="00115044" w:rsidRPr="003F083C" w:rsidRDefault="00115044" w:rsidP="00115044">
      <w:pPr>
        <w:pStyle w:val="ListParagraph"/>
        <w:numPr>
          <w:ilvl w:val="0"/>
          <w:numId w:val="2"/>
        </w:numPr>
        <w:rPr>
          <w:rFonts w:asciiTheme="minorHAnsi" w:hAnsiTheme="minorHAnsi"/>
          <w:u w:val="single"/>
        </w:rPr>
      </w:pPr>
      <w:r w:rsidRPr="004E1850">
        <w:rPr>
          <w:rFonts w:asciiTheme="minorHAnsi" w:hAnsiTheme="minorHAnsi"/>
        </w:rPr>
        <w:t>Graduation tracking</w:t>
      </w:r>
    </w:p>
    <w:p w:rsidR="003F083C" w:rsidRPr="003F083C" w:rsidRDefault="003F083C" w:rsidP="00115044">
      <w:pPr>
        <w:pStyle w:val="ListParagraph"/>
        <w:numPr>
          <w:ilvl w:val="0"/>
          <w:numId w:val="2"/>
        </w:numPr>
        <w:rPr>
          <w:rFonts w:asciiTheme="minorHAnsi" w:hAnsiTheme="minorHAnsi"/>
          <w:u w:val="single"/>
        </w:rPr>
      </w:pPr>
      <w:r>
        <w:rPr>
          <w:rFonts w:asciiTheme="minorHAnsi" w:hAnsiTheme="minorHAnsi"/>
        </w:rPr>
        <w:t>Dropout prevention</w:t>
      </w:r>
    </w:p>
    <w:p w:rsidR="003F083C" w:rsidRPr="003F083C" w:rsidRDefault="003F083C" w:rsidP="00115044">
      <w:pPr>
        <w:pStyle w:val="ListParagraph"/>
        <w:numPr>
          <w:ilvl w:val="0"/>
          <w:numId w:val="2"/>
        </w:numPr>
        <w:rPr>
          <w:rFonts w:asciiTheme="minorHAnsi" w:hAnsiTheme="minorHAnsi"/>
          <w:u w:val="single"/>
        </w:rPr>
      </w:pPr>
    </w:p>
    <w:p w:rsidR="00115044" w:rsidRPr="004E1850" w:rsidRDefault="00115044" w:rsidP="00115044">
      <w:pPr>
        <w:pStyle w:val="ListParagraph"/>
        <w:rPr>
          <w:rFonts w:asciiTheme="minorHAnsi" w:hAnsiTheme="minorHAnsi"/>
          <w:u w:val="single"/>
        </w:rPr>
      </w:pPr>
    </w:p>
    <w:p w:rsidR="00115044" w:rsidRPr="003F083C" w:rsidRDefault="003F083C" w:rsidP="00115044">
      <w:pPr>
        <w:rPr>
          <w:rFonts w:asciiTheme="minorHAnsi" w:hAnsiTheme="minorHAnsi"/>
          <w:b/>
        </w:rPr>
      </w:pPr>
      <w:r>
        <w:rPr>
          <w:rFonts w:asciiTheme="minorHAnsi" w:hAnsiTheme="minorHAnsi"/>
          <w:b/>
          <w:u w:val="single"/>
        </w:rPr>
        <w:t xml:space="preserve">EXAMPLES of </w:t>
      </w:r>
      <w:r w:rsidR="00115044" w:rsidRPr="003F083C">
        <w:rPr>
          <w:rFonts w:asciiTheme="minorHAnsi" w:hAnsiTheme="minorHAnsi"/>
          <w:b/>
          <w:u w:val="single"/>
        </w:rPr>
        <w:t>Anticipated Student Outcomes</w:t>
      </w:r>
    </w:p>
    <w:p w:rsidR="00115044" w:rsidRPr="004E1850" w:rsidRDefault="00115044" w:rsidP="00115044">
      <w:pPr>
        <w:pStyle w:val="ListParagraph"/>
        <w:numPr>
          <w:ilvl w:val="0"/>
          <w:numId w:val="3"/>
        </w:numPr>
        <w:rPr>
          <w:rFonts w:asciiTheme="minorHAnsi" w:hAnsiTheme="minorHAnsi"/>
        </w:rPr>
      </w:pPr>
      <w:r w:rsidRPr="004E1850">
        <w:rPr>
          <w:rFonts w:asciiTheme="minorHAnsi" w:hAnsiTheme="minorHAnsi"/>
        </w:rPr>
        <w:t>Accelerated academic growth</w:t>
      </w:r>
    </w:p>
    <w:p w:rsidR="00115044" w:rsidRPr="004E1850" w:rsidRDefault="00115044" w:rsidP="00115044">
      <w:pPr>
        <w:pStyle w:val="ListParagraph"/>
        <w:numPr>
          <w:ilvl w:val="0"/>
          <w:numId w:val="3"/>
        </w:numPr>
        <w:rPr>
          <w:rFonts w:asciiTheme="minorHAnsi" w:hAnsiTheme="minorHAnsi"/>
        </w:rPr>
      </w:pPr>
      <w:r w:rsidRPr="004E1850">
        <w:rPr>
          <w:rFonts w:asciiTheme="minorHAnsi" w:hAnsiTheme="minorHAnsi"/>
        </w:rPr>
        <w:t>Narrowing of achievement gap for homeless students, compared to total enrollment</w:t>
      </w:r>
    </w:p>
    <w:p w:rsidR="00115044" w:rsidRPr="004E1850" w:rsidRDefault="00115044" w:rsidP="00115044">
      <w:pPr>
        <w:pStyle w:val="ListParagraph"/>
        <w:numPr>
          <w:ilvl w:val="0"/>
          <w:numId w:val="3"/>
        </w:numPr>
        <w:rPr>
          <w:rFonts w:asciiTheme="minorHAnsi" w:hAnsiTheme="minorHAnsi"/>
        </w:rPr>
      </w:pPr>
      <w:r w:rsidRPr="004E1850">
        <w:rPr>
          <w:rFonts w:asciiTheme="minorHAnsi" w:hAnsiTheme="minorHAnsi"/>
        </w:rPr>
        <w:t>Increased number of homeless student on track for on-time graduation</w:t>
      </w:r>
    </w:p>
    <w:p w:rsidR="00115044" w:rsidRPr="004E1850" w:rsidRDefault="00115044" w:rsidP="00115044">
      <w:pPr>
        <w:pStyle w:val="ListParagraph"/>
        <w:numPr>
          <w:ilvl w:val="0"/>
          <w:numId w:val="3"/>
        </w:numPr>
        <w:rPr>
          <w:rFonts w:asciiTheme="minorHAnsi" w:hAnsiTheme="minorHAnsi"/>
        </w:rPr>
      </w:pPr>
      <w:r w:rsidRPr="004E1850">
        <w:rPr>
          <w:rFonts w:asciiTheme="minorHAnsi" w:hAnsiTheme="minorHAnsi"/>
        </w:rPr>
        <w:t>Increased number of MV students graduating (or obtaining GED)</w:t>
      </w:r>
    </w:p>
    <w:p w:rsidR="00115044" w:rsidRPr="004E1850" w:rsidRDefault="003F083C" w:rsidP="00115044">
      <w:pPr>
        <w:pStyle w:val="ListParagraph"/>
        <w:numPr>
          <w:ilvl w:val="0"/>
          <w:numId w:val="3"/>
        </w:numPr>
        <w:rPr>
          <w:rFonts w:asciiTheme="minorHAnsi" w:hAnsiTheme="minorHAnsi"/>
        </w:rPr>
      </w:pPr>
      <w:r>
        <w:rPr>
          <w:rFonts w:asciiTheme="minorHAnsi" w:hAnsiTheme="minorHAnsi"/>
        </w:rPr>
        <w:t>Reduced number of drop</w:t>
      </w:r>
      <w:r w:rsidR="00115044" w:rsidRPr="004E1850">
        <w:rPr>
          <w:rFonts w:asciiTheme="minorHAnsi" w:hAnsiTheme="minorHAnsi"/>
        </w:rPr>
        <w:t>outs among homeless students</w:t>
      </w:r>
    </w:p>
    <w:p w:rsidR="00115044" w:rsidRPr="004E1850" w:rsidRDefault="00115044" w:rsidP="00115044">
      <w:pPr>
        <w:pStyle w:val="ListParagraph"/>
        <w:numPr>
          <w:ilvl w:val="0"/>
          <w:numId w:val="3"/>
        </w:numPr>
        <w:rPr>
          <w:rFonts w:asciiTheme="minorHAnsi" w:hAnsiTheme="minorHAnsi"/>
        </w:rPr>
      </w:pPr>
      <w:r w:rsidRPr="004E1850">
        <w:rPr>
          <w:rFonts w:asciiTheme="minorHAnsi" w:hAnsiTheme="minorHAnsi"/>
        </w:rPr>
        <w:t>Improved school engagement, attendance</w:t>
      </w:r>
    </w:p>
    <w:p w:rsidR="003432B6" w:rsidRPr="004E1850" w:rsidRDefault="003432B6" w:rsidP="003432B6">
      <w:pPr>
        <w:pStyle w:val="ListParagraph"/>
        <w:ind w:left="0"/>
        <w:rPr>
          <w:rFonts w:asciiTheme="minorHAnsi" w:hAnsiTheme="minorHAnsi"/>
        </w:rPr>
      </w:pPr>
    </w:p>
    <w:p w:rsidR="006825BD" w:rsidRPr="004E1850" w:rsidRDefault="006825BD" w:rsidP="003432B6">
      <w:pPr>
        <w:pStyle w:val="ListParagraph"/>
        <w:ind w:left="0"/>
        <w:rPr>
          <w:rFonts w:asciiTheme="minorHAnsi" w:hAnsiTheme="minorHAnsi"/>
        </w:rPr>
      </w:pPr>
    </w:p>
    <w:p w:rsidR="006825BD" w:rsidRPr="004E1850" w:rsidRDefault="006825BD" w:rsidP="003432B6">
      <w:pPr>
        <w:pStyle w:val="ListParagraph"/>
        <w:ind w:left="0"/>
        <w:rPr>
          <w:rFonts w:asciiTheme="minorHAnsi" w:hAnsiTheme="minorHAnsi"/>
        </w:rPr>
      </w:pPr>
    </w:p>
    <w:p w:rsidR="006825BD" w:rsidRPr="004E1850" w:rsidRDefault="006825BD" w:rsidP="003432B6">
      <w:pPr>
        <w:pStyle w:val="ListParagraph"/>
        <w:ind w:left="0"/>
        <w:rPr>
          <w:rFonts w:asciiTheme="minorHAnsi" w:hAnsiTheme="minorHAnsi"/>
        </w:rPr>
      </w:pPr>
    </w:p>
    <w:p w:rsidR="006825BD" w:rsidRPr="004E1850" w:rsidRDefault="006825BD" w:rsidP="006825BD">
      <w:pPr>
        <w:pStyle w:val="ListParagraph"/>
        <w:ind w:left="1440"/>
        <w:rPr>
          <w:rFonts w:asciiTheme="minorHAnsi" w:hAnsiTheme="minorHAnsi"/>
        </w:rPr>
      </w:pPr>
    </w:p>
    <w:p w:rsidR="006825BD" w:rsidRPr="004E1850" w:rsidRDefault="006825BD" w:rsidP="003432B6">
      <w:pPr>
        <w:pStyle w:val="ListParagraph"/>
        <w:ind w:left="0"/>
        <w:rPr>
          <w:rFonts w:asciiTheme="minorHAnsi" w:hAnsiTheme="minorHAnsi"/>
        </w:rPr>
      </w:pPr>
    </w:p>
    <w:sectPr w:rsidR="006825BD" w:rsidRPr="004E1850" w:rsidSect="00A669CC">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D19"/>
    <w:multiLevelType w:val="hybridMultilevel"/>
    <w:tmpl w:val="4458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26F90"/>
    <w:multiLevelType w:val="hybridMultilevel"/>
    <w:tmpl w:val="7C6A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8025A"/>
    <w:multiLevelType w:val="hybridMultilevel"/>
    <w:tmpl w:val="D50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32860"/>
    <w:multiLevelType w:val="hybridMultilevel"/>
    <w:tmpl w:val="2416D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9B2516"/>
    <w:multiLevelType w:val="hybridMultilevel"/>
    <w:tmpl w:val="C658A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CC"/>
    <w:rsid w:val="00115044"/>
    <w:rsid w:val="003432B6"/>
    <w:rsid w:val="003F083C"/>
    <w:rsid w:val="004034B0"/>
    <w:rsid w:val="004E1850"/>
    <w:rsid w:val="006463A8"/>
    <w:rsid w:val="006825BD"/>
    <w:rsid w:val="00806942"/>
    <w:rsid w:val="009968F0"/>
    <w:rsid w:val="00A669CC"/>
    <w:rsid w:val="00FE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B0"/>
    <w:pPr>
      <w:ind w:left="720"/>
      <w:contextualSpacing/>
    </w:pPr>
  </w:style>
  <w:style w:type="character" w:styleId="Hyperlink">
    <w:name w:val="Hyperlink"/>
    <w:basedOn w:val="DefaultParagraphFont"/>
    <w:rsid w:val="00FE1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B0"/>
    <w:pPr>
      <w:ind w:left="720"/>
      <w:contextualSpacing/>
    </w:pPr>
  </w:style>
  <w:style w:type="character" w:styleId="Hyperlink">
    <w:name w:val="Hyperlink"/>
    <w:basedOn w:val="DefaultParagraphFont"/>
    <w:rsid w:val="00FE1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bolt@state.o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Bolt</dc:creator>
  <cp:lastModifiedBy>Windows User</cp:lastModifiedBy>
  <cp:revision>2</cp:revision>
  <dcterms:created xsi:type="dcterms:W3CDTF">2015-12-08T22:00:00Z</dcterms:created>
  <dcterms:modified xsi:type="dcterms:W3CDTF">2015-12-08T22:00:00Z</dcterms:modified>
</cp:coreProperties>
</file>