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C4" w:rsidRPr="00813ABE" w:rsidRDefault="00D16FC4" w:rsidP="00D16FC4">
      <w:pPr>
        <w:pStyle w:val="NormalWeb"/>
        <w:spacing w:before="0" w:beforeAutospacing="0" w:after="160" w:afterAutospacing="0"/>
        <w:rPr>
          <w:rFonts w:ascii="Arial" w:eastAsia="Times New Roman" w:hAnsi="Arial" w:cs="Arial"/>
          <w:b/>
          <w:sz w:val="24"/>
          <w:szCs w:val="22"/>
        </w:rPr>
      </w:pPr>
      <w:r w:rsidRPr="00813ABE">
        <w:rPr>
          <w:rFonts w:ascii="Arial" w:eastAsia="Times New Roman" w:hAnsi="Arial" w:cs="Arial"/>
          <w:b/>
          <w:color w:val="000000"/>
          <w:sz w:val="24"/>
          <w:szCs w:val="22"/>
        </w:rPr>
        <w:t>Frequently Asked Questions – Students and the IEP</w:t>
      </w:r>
    </w:p>
    <w:p w:rsidR="00ED7A15" w:rsidRDefault="00ED7A15" w:rsidP="00813ABE">
      <w:pPr>
        <w:textAlignment w:val="baseline"/>
        <w:rPr>
          <w:rFonts w:ascii="Arial" w:eastAsia="Times New Roman" w:hAnsi="Arial" w:cs="Arial"/>
          <w:b/>
          <w:color w:val="000000"/>
        </w:rPr>
      </w:pPr>
      <w:r>
        <w:rPr>
          <w:rFonts w:ascii="Arial" w:eastAsia="Times New Roman" w:hAnsi="Arial" w:cs="Arial"/>
          <w:b/>
          <w:color w:val="000000"/>
        </w:rPr>
        <w:t xml:space="preserve">1.  </w:t>
      </w:r>
      <w:r w:rsidR="00D16FC4" w:rsidRPr="00ED7A15">
        <w:rPr>
          <w:rFonts w:ascii="Arial" w:eastAsia="Times New Roman" w:hAnsi="Arial" w:cs="Arial"/>
          <w:b/>
          <w:color w:val="000000"/>
        </w:rPr>
        <w:t xml:space="preserve">What if a student chooses an unrealistic goal or one that is difficult to obtain? </w:t>
      </w:r>
    </w:p>
    <w:p w:rsidR="00ED7A15" w:rsidRPr="00293B9F" w:rsidRDefault="00ED7A15" w:rsidP="00813ABE">
      <w:pPr>
        <w:ind w:left="360"/>
        <w:textAlignment w:val="baseline"/>
        <w:rPr>
          <w:rFonts w:ascii="Arial" w:eastAsia="Times New Roman" w:hAnsi="Arial" w:cs="Arial"/>
          <w:color w:val="000000"/>
        </w:rPr>
      </w:pPr>
      <w:r w:rsidRPr="00293B9F">
        <w:rPr>
          <w:rFonts w:ascii="Arial" w:eastAsia="Times New Roman" w:hAnsi="Arial" w:cs="Arial"/>
          <w:color w:val="000000"/>
        </w:rPr>
        <w:t>Each vocation (goal) has many jobs that are related to it.  If the student has chosen an unrealistic goal, interview the student and family to determine what other jobs in this field of work may be of more interest and more realistic for this particular student.</w:t>
      </w:r>
    </w:p>
    <w:p w:rsidR="00D16FC4" w:rsidRDefault="00ED7A15" w:rsidP="00813ABE">
      <w:pPr>
        <w:pStyle w:val="ListParagraph"/>
        <w:spacing w:after="0" w:line="240" w:lineRule="auto"/>
        <w:ind w:left="0"/>
        <w:textAlignment w:val="baseline"/>
        <w:rPr>
          <w:rFonts w:ascii="Arial" w:eastAsia="Times New Roman" w:hAnsi="Arial" w:cs="Arial"/>
          <w:b/>
          <w:color w:val="000000"/>
        </w:rPr>
      </w:pPr>
      <w:r>
        <w:rPr>
          <w:rFonts w:ascii="Arial" w:eastAsia="Times New Roman" w:hAnsi="Arial" w:cs="Arial"/>
          <w:b/>
          <w:color w:val="000000"/>
        </w:rPr>
        <w:t xml:space="preserve">2.  </w:t>
      </w:r>
      <w:r w:rsidR="00D16FC4" w:rsidRPr="00ED7A15">
        <w:rPr>
          <w:rFonts w:ascii="Arial" w:eastAsia="Times New Roman" w:hAnsi="Arial" w:cs="Arial"/>
          <w:b/>
          <w:color w:val="000000"/>
        </w:rPr>
        <w:t>Am I responsible for taking data on post-secondary goals and see it through to completion?</w:t>
      </w:r>
    </w:p>
    <w:p w:rsidR="00ED7A15" w:rsidRPr="00ED7A15" w:rsidRDefault="00ED7A15" w:rsidP="00813ABE">
      <w:pPr>
        <w:ind w:left="360"/>
        <w:textAlignment w:val="baseline"/>
        <w:rPr>
          <w:rFonts w:ascii="Arial" w:hAnsi="Arial" w:cs="Arial"/>
        </w:rPr>
      </w:pPr>
      <w:r w:rsidRPr="00ED7A15">
        <w:rPr>
          <w:rFonts w:ascii="Arial" w:eastAsia="Times New Roman" w:hAnsi="Arial" w:cs="Arial"/>
          <w:color w:val="000000"/>
        </w:rPr>
        <w:t xml:space="preserve">Post-secondary goals are a key part of the IEP: the teacher(s) are responsible for implementing the IEP as long as the student is in school and the IEP is in effect.  </w:t>
      </w:r>
      <w:r w:rsidRPr="00ED7A15">
        <w:rPr>
          <w:rFonts w:ascii="Arial" w:hAnsi="Arial" w:cs="Arial"/>
        </w:rPr>
        <w:t>§</w:t>
      </w:r>
      <w:r w:rsidRPr="00ED7A15">
        <w:rPr>
          <w:rFonts w:ascii="Arial" w:eastAsia="Times New Roman" w:hAnsi="Arial" w:cs="Arial"/>
          <w:color w:val="000000"/>
        </w:rPr>
        <w:t>300.320</w:t>
      </w:r>
      <w:r w:rsidRPr="00ED7A15">
        <w:rPr>
          <w:rFonts w:ascii="Arial" w:hAnsi="Arial" w:cs="Arial"/>
          <w:u w:val="single"/>
        </w:rPr>
        <w:t>,</w:t>
      </w:r>
      <w:r w:rsidRPr="00ED7A15">
        <w:rPr>
          <w:rFonts w:ascii="Arial" w:hAnsi="Arial" w:cs="Arial"/>
        </w:rPr>
        <w:t xml:space="preserve"> and updated annually, thereafter, the IEP must include— (1) Appropriate measurable postsecondary goals based upon age appropriate transition assessments related to training, education, employment, and, where appropriate, independent living skills;</w:t>
      </w:r>
    </w:p>
    <w:p w:rsidR="00ED7A15" w:rsidRPr="00ED7A15" w:rsidRDefault="00ED7A15" w:rsidP="00813ABE">
      <w:pPr>
        <w:spacing w:after="100" w:afterAutospacing="1"/>
        <w:ind w:left="360"/>
        <w:textAlignment w:val="baseline"/>
        <w:rPr>
          <w:rFonts w:ascii="Arial" w:eastAsia="Times New Roman" w:hAnsi="Arial" w:cs="Arial"/>
          <w:color w:val="000000"/>
        </w:rPr>
      </w:pPr>
      <w:r w:rsidRPr="00ED7A15">
        <w:rPr>
          <w:rFonts w:ascii="Arial" w:eastAsia="Times New Roman" w:hAnsi="Arial" w:cs="Arial"/>
          <w:color w:val="000000"/>
        </w:rPr>
        <w:t xml:space="preserve">One year after leaving school, the student will be interviewed as part of the Post School Outcome data collection.  Each district is responsible for gathering this information.  Research shows that if the student’s teacher(s) prepare the student (gather contact information, explain the interview) before the student leaves school, the results of the Post School Outcome data collection provide more feedback to the district on how well the students were prepared.  </w:t>
      </w:r>
    </w:p>
    <w:p w:rsidR="00D16FC4" w:rsidRDefault="00813ABE" w:rsidP="00320073">
      <w:pPr>
        <w:spacing w:after="0" w:line="240" w:lineRule="auto"/>
        <w:textAlignment w:val="baseline"/>
        <w:rPr>
          <w:rFonts w:ascii="Arial" w:eastAsia="Times New Roman" w:hAnsi="Arial" w:cs="Arial"/>
          <w:b/>
          <w:color w:val="000000"/>
        </w:rPr>
      </w:pPr>
      <w:r>
        <w:rPr>
          <w:rFonts w:ascii="Arial" w:eastAsia="Times New Roman" w:hAnsi="Arial" w:cs="Arial"/>
          <w:b/>
          <w:color w:val="000000"/>
        </w:rPr>
        <w:t xml:space="preserve">3.  </w:t>
      </w:r>
      <w:r w:rsidR="00D16FC4" w:rsidRPr="00FF6B77">
        <w:rPr>
          <w:rFonts w:ascii="Arial" w:eastAsia="Times New Roman" w:hAnsi="Arial" w:cs="Arial"/>
          <w:b/>
          <w:color w:val="000000"/>
        </w:rPr>
        <w:t>What if I have a student/family that does not want to work</w:t>
      </w:r>
      <w:r w:rsidR="00380192">
        <w:rPr>
          <w:rFonts w:ascii="Arial" w:eastAsia="Times New Roman" w:hAnsi="Arial" w:cs="Arial"/>
          <w:b/>
          <w:color w:val="000000"/>
        </w:rPr>
        <w:t xml:space="preserve"> and ODDS is not involved with the student</w:t>
      </w:r>
      <w:r w:rsidR="00D16FC4" w:rsidRPr="00FF6B77">
        <w:rPr>
          <w:rFonts w:ascii="Arial" w:eastAsia="Times New Roman" w:hAnsi="Arial" w:cs="Arial"/>
          <w:b/>
          <w:color w:val="000000"/>
        </w:rPr>
        <w:t>?</w:t>
      </w:r>
    </w:p>
    <w:p w:rsidR="00ED7A15" w:rsidRPr="008A125F" w:rsidRDefault="00ED7A15" w:rsidP="00320073">
      <w:pPr>
        <w:pStyle w:val="NormalWeb"/>
        <w:spacing w:before="0" w:beforeAutospacing="0" w:after="0" w:afterAutospacing="0"/>
        <w:ind w:left="360"/>
        <w:rPr>
          <w:rFonts w:ascii="Arial" w:eastAsia="Times New Roman" w:hAnsi="Arial" w:cs="Arial"/>
          <w:color w:val="000000"/>
          <w:sz w:val="22"/>
          <w:szCs w:val="22"/>
        </w:rPr>
      </w:pPr>
      <w:r w:rsidRPr="008A125F">
        <w:rPr>
          <w:rFonts w:ascii="Arial" w:eastAsia="Times New Roman" w:hAnsi="Arial" w:cs="Arial"/>
          <w:b/>
          <w:color w:val="000000"/>
          <w:sz w:val="22"/>
          <w:szCs w:val="22"/>
        </w:rPr>
        <w:t>I</w:t>
      </w:r>
      <w:r w:rsidRPr="008A125F">
        <w:rPr>
          <w:rFonts w:ascii="Arial" w:eastAsia="Times New Roman" w:hAnsi="Arial" w:cs="Arial"/>
          <w:color w:val="000000"/>
          <w:sz w:val="22"/>
          <w:szCs w:val="22"/>
        </w:rPr>
        <w:t xml:space="preserve">DEA requires: </w:t>
      </w:r>
    </w:p>
    <w:p w:rsidR="00ED7A15" w:rsidRPr="008A125F" w:rsidRDefault="00ED7A15" w:rsidP="00ED7A15">
      <w:pPr>
        <w:pStyle w:val="NormalWeb"/>
        <w:ind w:left="360"/>
        <w:rPr>
          <w:rFonts w:ascii="Arial" w:eastAsia="Times New Roman" w:hAnsi="Arial" w:cs="Arial"/>
          <w:i/>
          <w:color w:val="000000"/>
          <w:sz w:val="22"/>
          <w:szCs w:val="22"/>
        </w:rPr>
      </w:pPr>
      <w:r w:rsidRPr="008A125F">
        <w:rPr>
          <w:rFonts w:ascii="Arial" w:eastAsia="Times New Roman" w:hAnsi="Arial" w:cs="Arial"/>
          <w:i/>
          <w:color w:val="000000"/>
          <w:sz w:val="22"/>
          <w:szCs w:val="22"/>
        </w:rPr>
        <w:t>(b) </w:t>
      </w:r>
      <w:r w:rsidRPr="008A125F">
        <w:rPr>
          <w:rFonts w:ascii="Arial" w:eastAsia="Times New Roman" w:hAnsi="Arial" w:cs="Arial"/>
          <w:i/>
          <w:iCs/>
          <w:color w:val="000000"/>
          <w:sz w:val="22"/>
          <w:szCs w:val="22"/>
        </w:rPr>
        <w:t>Transition services.</w:t>
      </w:r>
      <w:r w:rsidRPr="008A125F">
        <w:rPr>
          <w:rFonts w:ascii="Arial" w:eastAsia="Times New Roman" w:hAnsi="Arial" w:cs="Arial"/>
          <w:i/>
          <w:color w:val="000000"/>
          <w:sz w:val="22"/>
          <w:szCs w:val="22"/>
        </w:rPr>
        <w:t> Beginning not later than the first IEP to be in effect when the child turns 16, or younger if determined appropriate by the IEP Team, and updated annually, thereafter, the IEP must include—</w:t>
      </w:r>
    </w:p>
    <w:p w:rsidR="00ED7A15" w:rsidRPr="008A125F" w:rsidRDefault="00ED7A15" w:rsidP="00ED7A15">
      <w:pPr>
        <w:spacing w:before="100" w:beforeAutospacing="1" w:after="100" w:afterAutospacing="1"/>
        <w:ind w:left="360"/>
        <w:rPr>
          <w:rFonts w:ascii="Arial" w:eastAsia="Times New Roman" w:hAnsi="Arial" w:cs="Arial"/>
          <w:i/>
          <w:color w:val="000000"/>
        </w:rPr>
      </w:pPr>
      <w:r w:rsidRPr="008A125F">
        <w:rPr>
          <w:rFonts w:ascii="Arial" w:eastAsia="Times New Roman" w:hAnsi="Arial" w:cs="Arial"/>
          <w:i/>
          <w:color w:val="000000"/>
        </w:rPr>
        <w:t xml:space="preserve">(1) Appropriate measurable </w:t>
      </w:r>
      <w:r w:rsidRPr="008A125F">
        <w:rPr>
          <w:rFonts w:ascii="Arial" w:eastAsia="Times New Roman" w:hAnsi="Arial" w:cs="Arial"/>
          <w:i/>
          <w:color w:val="000000"/>
          <w:u w:val="single"/>
        </w:rPr>
        <w:t>postsecondary goals</w:t>
      </w:r>
      <w:r w:rsidRPr="008A125F">
        <w:rPr>
          <w:rFonts w:ascii="Arial" w:eastAsia="Times New Roman" w:hAnsi="Arial" w:cs="Arial"/>
          <w:i/>
          <w:color w:val="000000"/>
        </w:rPr>
        <w:t xml:space="preserve"> based upon age appropriate transition assessments related to </w:t>
      </w:r>
      <w:r w:rsidRPr="008A125F">
        <w:rPr>
          <w:rFonts w:ascii="Arial" w:eastAsia="Times New Roman" w:hAnsi="Arial" w:cs="Arial"/>
          <w:i/>
          <w:color w:val="000000"/>
          <w:u w:val="single"/>
        </w:rPr>
        <w:t>training, education, employment, and, where appropriate, independent living skills</w:t>
      </w:r>
      <w:r w:rsidRPr="008A125F">
        <w:rPr>
          <w:rFonts w:ascii="Arial" w:eastAsia="Times New Roman" w:hAnsi="Arial" w:cs="Arial"/>
          <w:i/>
          <w:color w:val="000000"/>
        </w:rPr>
        <w:t xml:space="preserve">; </w:t>
      </w:r>
    </w:p>
    <w:p w:rsidR="00ED7A15" w:rsidRPr="008A125F" w:rsidRDefault="00ED7A15" w:rsidP="00ED7A15">
      <w:pPr>
        <w:spacing w:before="100" w:beforeAutospacing="1" w:after="100" w:afterAutospacing="1"/>
        <w:ind w:left="360"/>
        <w:rPr>
          <w:rFonts w:ascii="Arial" w:eastAsia="Times New Roman" w:hAnsi="Arial" w:cs="Arial"/>
          <w:color w:val="000000"/>
        </w:rPr>
      </w:pPr>
      <w:r w:rsidRPr="008A125F">
        <w:rPr>
          <w:rFonts w:ascii="Arial" w:eastAsia="Times New Roman" w:hAnsi="Arial" w:cs="Arial"/>
          <w:color w:val="000000"/>
        </w:rPr>
        <w:t xml:space="preserve">The IEP team MUST include postsecondary goals for training, education, employment; however, the IDEA allows the IEP Team to explore other life activities, such as adult services, independent living, and community participation. </w:t>
      </w:r>
    </w:p>
    <w:p w:rsidR="00813ABE" w:rsidRPr="008A125F" w:rsidRDefault="00380192" w:rsidP="00B509BE">
      <w:pPr>
        <w:spacing w:before="100" w:beforeAutospacing="1" w:after="100" w:afterAutospacing="1"/>
        <w:ind w:left="360"/>
        <w:rPr>
          <w:rFonts w:ascii="Arial" w:eastAsia="Times New Roman" w:hAnsi="Arial" w:cs="Arial"/>
          <w:b/>
          <w:color w:val="000000"/>
        </w:rPr>
      </w:pPr>
      <w:r w:rsidRPr="008A125F">
        <w:rPr>
          <w:rFonts w:ascii="Arial" w:eastAsia="Times New Roman" w:hAnsi="Arial" w:cs="Arial"/>
          <w:color w:val="000000"/>
        </w:rPr>
        <w:t>If the student refuses to work, you still must write postsecondary goals, but you can also focus on getting the student into adult services (Developmental Disability Services, Vocational Rehabilitation, and Independent Living Centers) or involved in community participation.  Exploratory work goals and transition services (postsecondary education, vocational education, integrated employment etc.)</w:t>
      </w:r>
      <w:r w:rsidR="00B509BE" w:rsidRPr="008A125F">
        <w:rPr>
          <w:rFonts w:ascii="Arial" w:eastAsia="Times New Roman" w:hAnsi="Arial" w:cs="Arial"/>
          <w:color w:val="000000"/>
        </w:rPr>
        <w:t xml:space="preserve"> </w:t>
      </w:r>
      <w:r w:rsidRPr="008A125F">
        <w:rPr>
          <w:rFonts w:ascii="Arial" w:eastAsia="Times New Roman" w:hAnsi="Arial" w:cs="Arial"/>
          <w:color w:val="000000"/>
        </w:rPr>
        <w:t xml:space="preserve">as well as volunteer work are good ways to </w:t>
      </w:r>
      <w:r w:rsidR="00291B1A" w:rsidRPr="008A125F">
        <w:rPr>
          <w:rFonts w:ascii="Arial" w:eastAsia="Times New Roman" w:hAnsi="Arial" w:cs="Arial"/>
          <w:color w:val="000000"/>
        </w:rPr>
        <w:t>introduce the student to the work world.</w:t>
      </w:r>
    </w:p>
    <w:p w:rsidR="00D812B6" w:rsidRPr="00FF6B77" w:rsidRDefault="00D812B6" w:rsidP="00D16FC4">
      <w:pPr>
        <w:rPr>
          <w:rFonts w:ascii="Arial" w:hAnsi="Arial" w:cs="Arial"/>
          <w:b/>
        </w:rPr>
      </w:pPr>
      <w:bookmarkStart w:id="0" w:name="_GoBack"/>
      <w:bookmarkEnd w:id="0"/>
    </w:p>
    <w:sectPr w:rsidR="00D812B6" w:rsidRPr="00FF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3CD"/>
    <w:multiLevelType w:val="multilevel"/>
    <w:tmpl w:val="1240A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B2647"/>
    <w:multiLevelType w:val="multilevel"/>
    <w:tmpl w:val="669CE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645C2"/>
    <w:multiLevelType w:val="hybridMultilevel"/>
    <w:tmpl w:val="48A0B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54A21E70"/>
    <w:multiLevelType w:val="hybridMultilevel"/>
    <w:tmpl w:val="B9BAC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35131CA"/>
    <w:multiLevelType w:val="multilevel"/>
    <w:tmpl w:val="A73E7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C4"/>
    <w:rsid w:val="00291B1A"/>
    <w:rsid w:val="00320073"/>
    <w:rsid w:val="00380192"/>
    <w:rsid w:val="00500323"/>
    <w:rsid w:val="00813ABE"/>
    <w:rsid w:val="00847003"/>
    <w:rsid w:val="008A125F"/>
    <w:rsid w:val="00B1478A"/>
    <w:rsid w:val="00B509BE"/>
    <w:rsid w:val="00D16FC4"/>
    <w:rsid w:val="00D812B6"/>
    <w:rsid w:val="00ED7A15"/>
    <w:rsid w:val="00F93AFF"/>
    <w:rsid w:val="00FF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8DFD8-D05B-4AE8-BD58-D0028BB4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FC4"/>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ED7A15"/>
    <w:pPr>
      <w:ind w:left="720"/>
      <w:contextualSpacing/>
    </w:pPr>
  </w:style>
  <w:style w:type="paragraph" w:styleId="BalloonText">
    <w:name w:val="Balloon Text"/>
    <w:basedOn w:val="Normal"/>
    <w:link w:val="BalloonTextChar"/>
    <w:uiPriority w:val="99"/>
    <w:semiHidden/>
    <w:unhideWhenUsed/>
    <w:rsid w:val="00B1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johnsop@mash.wou.edu</cp:lastModifiedBy>
  <cp:revision>4</cp:revision>
  <dcterms:created xsi:type="dcterms:W3CDTF">2017-09-15T19:44:00Z</dcterms:created>
  <dcterms:modified xsi:type="dcterms:W3CDTF">2017-09-18T16:56:00Z</dcterms:modified>
</cp:coreProperties>
</file>